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E92C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82DE8F1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81102B">
        <w:rPr>
          <w:rFonts w:ascii="Arial" w:hAnsi="Arial" w:cs="Arial"/>
          <w:b/>
          <w:color w:val="002060"/>
          <w:sz w:val="48"/>
          <w:szCs w:val="48"/>
        </w:rPr>
        <w:t>Infor</w:t>
      </w:r>
      <w:r>
        <w:rPr>
          <w:rFonts w:ascii="Arial" w:hAnsi="Arial" w:cs="Arial"/>
          <w:b/>
          <w:color w:val="002060"/>
          <w:sz w:val="48"/>
          <w:szCs w:val="48"/>
        </w:rPr>
        <w:t xml:space="preserve">me de Ejecución Presupuestaria </w:t>
      </w:r>
    </w:p>
    <w:p w14:paraId="31542D2B" w14:textId="156D7B1F" w:rsidR="00CB2A75" w:rsidRPr="00CB2A75" w:rsidRDefault="00CB2A7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72"/>
        </w:rPr>
      </w:pPr>
      <w:r w:rsidRPr="00CB2A75">
        <w:rPr>
          <w:rFonts w:ascii="Arial" w:hAnsi="Arial" w:cs="Arial"/>
          <w:b/>
          <w:color w:val="002060"/>
          <w:sz w:val="72"/>
          <w:szCs w:val="72"/>
        </w:rPr>
        <w:t>Viceministerio</w:t>
      </w:r>
    </w:p>
    <w:p w14:paraId="244E46E2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56"/>
        </w:rPr>
      </w:pPr>
      <w:r w:rsidRPr="009D0815">
        <w:rPr>
          <w:rFonts w:ascii="Arial" w:hAnsi="Arial" w:cs="Arial"/>
          <w:b/>
          <w:color w:val="002060"/>
          <w:sz w:val="72"/>
          <w:szCs w:val="56"/>
        </w:rPr>
        <w:t>Inversión y Competencia</w:t>
      </w:r>
    </w:p>
    <w:p w14:paraId="6A022411" w14:textId="6C26A4DC" w:rsidR="00AB38F5" w:rsidRPr="005307E1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>
        <w:rPr>
          <w:rFonts w:ascii="Arial" w:hAnsi="Arial" w:cs="Arial"/>
          <w:b/>
          <w:color w:val="002060"/>
          <w:sz w:val="52"/>
          <w:szCs w:val="52"/>
        </w:rPr>
        <w:t xml:space="preserve"> M</w:t>
      </w:r>
      <w:r w:rsidRPr="005307E1">
        <w:rPr>
          <w:rFonts w:ascii="Arial" w:hAnsi="Arial" w:cs="Arial"/>
          <w:b/>
          <w:color w:val="002060"/>
          <w:sz w:val="52"/>
          <w:szCs w:val="52"/>
        </w:rPr>
        <w:t xml:space="preserve">es de </w:t>
      </w:r>
      <w:r w:rsidR="00313F7D">
        <w:rPr>
          <w:rFonts w:ascii="Arial" w:hAnsi="Arial" w:cs="Arial"/>
          <w:b/>
          <w:color w:val="002060"/>
          <w:sz w:val="52"/>
          <w:szCs w:val="52"/>
        </w:rPr>
        <w:t>marzo</w:t>
      </w:r>
      <w:r w:rsidRPr="004F38D7">
        <w:rPr>
          <w:rFonts w:ascii="Arial" w:hAnsi="Arial" w:cs="Arial"/>
          <w:b/>
          <w:color w:val="002060"/>
          <w:sz w:val="48"/>
          <w:szCs w:val="52"/>
        </w:rPr>
        <w:t xml:space="preserve"> </w:t>
      </w:r>
      <w:r w:rsidRPr="005307E1">
        <w:rPr>
          <w:rFonts w:ascii="Arial" w:hAnsi="Arial" w:cs="Arial"/>
          <w:b/>
          <w:color w:val="002060"/>
          <w:sz w:val="52"/>
          <w:szCs w:val="52"/>
        </w:rPr>
        <w:t>de 202</w:t>
      </w:r>
      <w:r>
        <w:rPr>
          <w:rFonts w:ascii="Arial" w:hAnsi="Arial" w:cs="Arial"/>
          <w:b/>
          <w:color w:val="002060"/>
          <w:sz w:val="52"/>
          <w:szCs w:val="52"/>
        </w:rPr>
        <w:t>4</w:t>
      </w:r>
    </w:p>
    <w:p w14:paraId="6F2E8374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6675ECD4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550B6C3D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3244373A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7E078874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  <w:r w:rsidRPr="0081102B">
        <w:rPr>
          <w:rFonts w:ascii="Arial" w:hAnsi="Arial" w:cs="Arial"/>
          <w:b/>
          <w:color w:val="002060"/>
          <w:sz w:val="48"/>
          <w:szCs w:val="64"/>
        </w:rPr>
        <w:t>Ministerio de Economía</w:t>
      </w:r>
    </w:p>
    <w:p w14:paraId="020AC8EC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72CAC618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681E880C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7656128B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5F1244B2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5AE25793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3846865C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18"/>
        </w:rPr>
      </w:pPr>
      <w:r w:rsidRPr="0081102B">
        <w:rPr>
          <w:rFonts w:ascii="Arial" w:hAnsi="Arial" w:cs="Arial"/>
          <w:b/>
          <w:color w:val="002060"/>
          <w:sz w:val="48"/>
          <w:szCs w:val="64"/>
        </w:rPr>
        <w:t>Dirección Financiera</w:t>
      </w:r>
    </w:p>
    <w:p w14:paraId="049D36BE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1E49B6CC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0CF66430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636E4221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17EBCAC6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5A53B11C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57BE661F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DEL VICEMINISTERIO DE INVERSIÓN Y PROMOCIÓN A LA COMPETENCIA</w:t>
      </w:r>
    </w:p>
    <w:p w14:paraId="3E60A321" w14:textId="6E8E91BD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  AL </w:t>
      </w:r>
      <w:r>
        <w:rPr>
          <w:rFonts w:ascii="Arial" w:hAnsi="Arial" w:cs="Arial"/>
          <w:b/>
          <w:lang w:val="es-MX"/>
        </w:rPr>
        <w:t xml:space="preserve">MES DE </w:t>
      </w:r>
      <w:r w:rsidR="00313F7D">
        <w:rPr>
          <w:rFonts w:ascii="Arial" w:hAnsi="Arial" w:cs="Arial"/>
          <w:b/>
          <w:lang w:val="es-MX"/>
        </w:rPr>
        <w:t>MARZO</w:t>
      </w:r>
      <w:r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2024</w:t>
      </w:r>
    </w:p>
    <w:p w14:paraId="1C5F0A19" w14:textId="77777777" w:rsidR="00AB38F5" w:rsidRPr="003B03D6" w:rsidRDefault="00AB38F5" w:rsidP="00AB38F5">
      <w:pPr>
        <w:rPr>
          <w:rFonts w:ascii="Arial" w:hAnsi="Arial" w:cs="Arial"/>
          <w:b/>
          <w:lang w:val="es-MX"/>
        </w:rPr>
      </w:pPr>
    </w:p>
    <w:p w14:paraId="05132426" w14:textId="77777777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>El Viceministerio de Inversión y Promoción de la Competencia es la dependencia que se encarga de velar por el comercio y la inversión coordinando sistemas de información para orientar a exportadores de las mercancías producidas en el país, así como también promover la competencia nacional, la protección al consumidor asegurando la calidad y acreditación de los productos y servicios.</w:t>
      </w:r>
    </w:p>
    <w:p w14:paraId="4A5E68B9" w14:textId="77777777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2E44D69" w14:textId="77777777" w:rsidR="00AB38F5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 xml:space="preserve">Así también este </w:t>
      </w:r>
      <w:r>
        <w:rPr>
          <w:rFonts w:eastAsia="Calibri" w:cs="Arial"/>
          <w:sz w:val="22"/>
          <w:szCs w:val="22"/>
          <w:lang w:val="es-MX" w:eastAsia="en-US"/>
        </w:rPr>
        <w:t>V</w:t>
      </w:r>
      <w:r w:rsidRPr="003B03D6">
        <w:rPr>
          <w:rFonts w:eastAsia="Calibri" w:cs="Arial"/>
          <w:sz w:val="22"/>
          <w:szCs w:val="22"/>
          <w:lang w:val="es-MX" w:eastAsia="en-US"/>
        </w:rPr>
        <w:t>iceministerio es el encargado de ejecutar uno de</w:t>
      </w:r>
      <w:r>
        <w:rPr>
          <w:rFonts w:eastAsia="Calibri" w:cs="Arial"/>
          <w:sz w:val="22"/>
          <w:szCs w:val="22"/>
          <w:lang w:val="es-MX" w:eastAsia="en-US"/>
        </w:rPr>
        <w:t xml:space="preserve"> los programas estratégicos de G</w:t>
      </w:r>
      <w:r w:rsidRPr="003B03D6">
        <w:rPr>
          <w:rFonts w:eastAsia="Calibri" w:cs="Arial"/>
          <w:sz w:val="22"/>
          <w:szCs w:val="22"/>
          <w:lang w:val="es-MX" w:eastAsia="en-US"/>
        </w:rPr>
        <w:t>obierno como lo es el de Apoyo al Incremento de la Competitividad, con el que se busca aumentar la inscripción de títulos de propiedad intelectual y personas individuales y jurídicas que desarrollen actividades mercantiles.</w:t>
      </w:r>
    </w:p>
    <w:p w14:paraId="2B7A8492" w14:textId="77777777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163C9D33" w14:textId="5E77BDBD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 xml:space="preserve">Por lo anterior expuesto le fue asignado un presupuesto </w:t>
      </w:r>
      <w:r>
        <w:rPr>
          <w:rFonts w:eastAsia="Calibri" w:cs="Arial"/>
          <w:sz w:val="22"/>
          <w:szCs w:val="22"/>
          <w:lang w:val="es-MX" w:eastAsia="en-US"/>
        </w:rPr>
        <w:t xml:space="preserve">por un monto 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de </w:t>
      </w:r>
      <w:r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>
        <w:rPr>
          <w:rFonts w:eastAsia="Calibri" w:cs="Arial"/>
          <w:b/>
          <w:sz w:val="22"/>
          <w:szCs w:val="22"/>
          <w:lang w:val="es-MX" w:eastAsia="en-US"/>
        </w:rPr>
        <w:t xml:space="preserve">71,712,369.00 </w:t>
      </w:r>
      <w:r>
        <w:rPr>
          <w:rFonts w:eastAsia="Calibri" w:cs="Arial"/>
          <w:sz w:val="22"/>
          <w:szCs w:val="22"/>
          <w:lang w:val="es-MX" w:eastAsia="en-US"/>
        </w:rPr>
        <w:t>de lo cual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 al cierre de</w:t>
      </w:r>
      <w:r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313F7D">
        <w:rPr>
          <w:rFonts w:eastAsia="Calibri" w:cs="Arial"/>
          <w:sz w:val="22"/>
          <w:szCs w:val="22"/>
          <w:lang w:val="es-MX" w:eastAsia="en-US"/>
        </w:rPr>
        <w:t>marzo</w:t>
      </w:r>
      <w:r>
        <w:rPr>
          <w:rFonts w:eastAsia="Calibri" w:cs="Arial"/>
          <w:sz w:val="22"/>
          <w:szCs w:val="22"/>
          <w:lang w:val="es-MX" w:eastAsia="en-US"/>
        </w:rPr>
        <w:t xml:space="preserve"> 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se reportó una ejecución de gastos de </w:t>
      </w:r>
      <w:r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 w:rsidR="00CB25CE">
        <w:rPr>
          <w:rFonts w:eastAsia="Calibri" w:cs="Arial"/>
          <w:b/>
          <w:sz w:val="22"/>
          <w:szCs w:val="22"/>
          <w:lang w:val="es-MX" w:eastAsia="en-US"/>
        </w:rPr>
        <w:t>1</w:t>
      </w:r>
      <w:r w:rsidR="00313F7D">
        <w:rPr>
          <w:rFonts w:eastAsia="Calibri" w:cs="Arial"/>
          <w:b/>
          <w:sz w:val="22"/>
          <w:szCs w:val="22"/>
          <w:lang w:val="es-MX" w:eastAsia="en-US"/>
        </w:rPr>
        <w:t>1.4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 </w:t>
      </w:r>
      <w:r>
        <w:rPr>
          <w:rFonts w:eastAsia="Calibri" w:cs="Arial"/>
          <w:sz w:val="22"/>
          <w:szCs w:val="22"/>
          <w:lang w:val="es-MX" w:eastAsia="en-US"/>
        </w:rPr>
        <w:t xml:space="preserve">millones 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de quetzales, lo que representa el </w:t>
      </w:r>
      <w:r w:rsidR="00313F7D">
        <w:rPr>
          <w:rFonts w:eastAsia="Calibri" w:cs="Arial"/>
          <w:b/>
          <w:sz w:val="22"/>
          <w:szCs w:val="22"/>
          <w:lang w:val="es-MX" w:eastAsia="en-US"/>
        </w:rPr>
        <w:t>15</w:t>
      </w:r>
      <w:r w:rsidR="00CB25CE">
        <w:rPr>
          <w:rFonts w:eastAsia="Calibri" w:cs="Arial"/>
          <w:b/>
          <w:sz w:val="22"/>
          <w:szCs w:val="22"/>
          <w:lang w:val="es-MX" w:eastAsia="en-US"/>
        </w:rPr>
        <w:t>.9</w:t>
      </w:r>
      <w:r w:rsidR="00313F7D">
        <w:rPr>
          <w:rFonts w:eastAsia="Calibri" w:cs="Arial"/>
          <w:b/>
          <w:sz w:val="22"/>
          <w:szCs w:val="22"/>
          <w:lang w:val="es-MX" w:eastAsia="en-US"/>
        </w:rPr>
        <w:t>2</w:t>
      </w:r>
      <w:r w:rsidRPr="003B03D6">
        <w:rPr>
          <w:rFonts w:eastAsia="Calibri" w:cs="Arial"/>
          <w:b/>
          <w:sz w:val="22"/>
          <w:szCs w:val="22"/>
          <w:lang w:val="es-MX" w:eastAsia="en-US"/>
        </w:rPr>
        <w:t>%.</w:t>
      </w:r>
    </w:p>
    <w:p w14:paraId="2E675DEF" w14:textId="77777777" w:rsidR="00AB38F5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4E8B5A56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>1</w:t>
      </w:r>
    </w:p>
    <w:p w14:paraId="53157E24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Presupuestaria</w:t>
      </w:r>
    </w:p>
    <w:p w14:paraId="7A95104E" w14:textId="3A459041" w:rsidR="00AB38F5" w:rsidRDefault="00AB38F5" w:rsidP="00AB38F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mes de </w:t>
      </w:r>
      <w:r w:rsidR="00313F7D">
        <w:rPr>
          <w:rFonts w:ascii="Arial" w:hAnsi="Arial" w:cs="Arial"/>
          <w:b/>
          <w:color w:val="000000" w:themeColor="text1"/>
        </w:rPr>
        <w:t>marzo</w:t>
      </w:r>
      <w:r>
        <w:rPr>
          <w:rFonts w:ascii="Arial" w:hAnsi="Arial" w:cs="Arial"/>
          <w:b/>
          <w:color w:val="000000" w:themeColor="text1"/>
        </w:rPr>
        <w:t xml:space="preserve"> de 2024</w:t>
      </w:r>
    </w:p>
    <w:p w14:paraId="439F6963" w14:textId="77777777" w:rsidR="00AB38F5" w:rsidRPr="00810983" w:rsidRDefault="00AB38F5" w:rsidP="00AB38F5">
      <w:pPr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559AC7EA" w14:textId="51E60926" w:rsidR="00AB38F5" w:rsidRDefault="00313F7D" w:rsidP="00AB38F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es-GT"/>
        </w:rPr>
        <w:drawing>
          <wp:inline distT="0" distB="0" distL="0" distR="0" wp14:anchorId="7202275C" wp14:editId="21D7F019">
            <wp:extent cx="4164965" cy="366450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999" cy="3672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44AC1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0FE4936D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8C55CE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 xml:space="preserve"> Sistema de Contabilidad Integrada -SICOIN-</w:t>
      </w:r>
    </w:p>
    <w:p w14:paraId="4EF870BF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2C0A3969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1F494BCF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Ejecución Presupuestaria</w:t>
      </w:r>
    </w:p>
    <w:p w14:paraId="59EE15CB" w14:textId="3EBC494A" w:rsidR="00AB38F5" w:rsidRDefault="00AB38F5" w:rsidP="00AB38F5">
      <w:pPr>
        <w:jc w:val="center"/>
        <w:rPr>
          <w:rFonts w:ascii="Arial" w:hAnsi="Arial" w:cs="Arial"/>
          <w:b/>
          <w:color w:val="000000" w:themeColor="text1"/>
        </w:rPr>
      </w:pPr>
      <w:r w:rsidRPr="003B03D6">
        <w:rPr>
          <w:rFonts w:ascii="Arial" w:hAnsi="Arial" w:cs="Arial"/>
          <w:b/>
          <w:lang w:val="es-MX"/>
        </w:rPr>
        <w:t xml:space="preserve">  </w:t>
      </w:r>
      <w:r>
        <w:rPr>
          <w:rFonts w:ascii="Arial" w:hAnsi="Arial" w:cs="Arial"/>
          <w:b/>
          <w:color w:val="000000" w:themeColor="text1"/>
        </w:rPr>
        <w:t xml:space="preserve">mes de </w:t>
      </w:r>
      <w:r w:rsidR="009F7CFB">
        <w:rPr>
          <w:rFonts w:ascii="Arial" w:hAnsi="Arial" w:cs="Arial"/>
          <w:b/>
          <w:color w:val="000000" w:themeColor="text1"/>
        </w:rPr>
        <w:t>marzo</w:t>
      </w:r>
      <w:r>
        <w:rPr>
          <w:rFonts w:ascii="Arial" w:hAnsi="Arial" w:cs="Arial"/>
          <w:b/>
          <w:color w:val="000000" w:themeColor="text1"/>
        </w:rPr>
        <w:t xml:space="preserve"> de 2024</w:t>
      </w:r>
    </w:p>
    <w:p w14:paraId="1DC70588" w14:textId="77777777" w:rsidR="00AB38F5" w:rsidRPr="00D74F1F" w:rsidRDefault="00AB38F5" w:rsidP="00AB38F5">
      <w:pPr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772C04C0" w14:textId="192C64F5" w:rsidR="00AB38F5" w:rsidRDefault="00F61D80" w:rsidP="00AB38F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es-GT"/>
        </w:rPr>
        <w:drawing>
          <wp:inline distT="0" distB="0" distL="0" distR="0" wp14:anchorId="25DD179A" wp14:editId="241902CB">
            <wp:extent cx="5904799" cy="4762853"/>
            <wp:effectExtent l="0" t="635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4269" cy="4786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BF2B7D" w14:textId="77777777" w:rsidR="00AB38F5" w:rsidRDefault="00AB38F5" w:rsidP="00AB38F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36F4506C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813686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813686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55BE1C5F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795339E1" w14:textId="77777777" w:rsidR="00AB38F5" w:rsidRDefault="00AB38F5" w:rsidP="00AB38F5">
      <w:pPr>
        <w:jc w:val="both"/>
        <w:rPr>
          <w:rFonts w:ascii="Arial" w:hAnsi="Arial" w:cs="Arial"/>
          <w:lang w:val="es-MX"/>
        </w:rPr>
      </w:pPr>
      <w:r w:rsidRPr="003B03D6">
        <w:rPr>
          <w:rFonts w:ascii="Arial" w:hAnsi="Arial" w:cs="Arial"/>
          <w:lang w:val="es-MX"/>
        </w:rPr>
        <w:t>Por lo tanto, se detallan a continuación los gastos de las diferentes dependencias, las cuales están sujetas al viceministerio de Inversión y competencia</w:t>
      </w:r>
      <w:r>
        <w:rPr>
          <w:rFonts w:ascii="Arial" w:hAnsi="Arial" w:cs="Arial"/>
          <w:lang w:val="es-MX"/>
        </w:rPr>
        <w:t xml:space="preserve"> y en su mayoría sus gastos más fuertes están contemplados en nóminas y pagos por servicios</w:t>
      </w:r>
      <w:r w:rsidRPr="003B03D6">
        <w:rPr>
          <w:rFonts w:ascii="Arial" w:hAnsi="Arial" w:cs="Arial"/>
          <w:lang w:val="es-MX"/>
        </w:rPr>
        <w:t>:</w:t>
      </w:r>
    </w:p>
    <w:p w14:paraId="08E076FC" w14:textId="77777777" w:rsidR="00AB38F5" w:rsidRPr="003B03D6" w:rsidRDefault="00AB38F5" w:rsidP="00AB38F5">
      <w:pPr>
        <w:ind w:left="2832" w:firstLine="708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Cuadro No. 1</w:t>
      </w:r>
    </w:p>
    <w:p w14:paraId="264159F8" w14:textId="77777777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Viceministerio de Inversión y Competencia</w:t>
      </w:r>
    </w:p>
    <w:p w14:paraId="34255051" w14:textId="77777777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del Presupuesto</w:t>
      </w:r>
      <w:r>
        <w:rPr>
          <w:rFonts w:ascii="Arial" w:hAnsi="Arial" w:cs="Arial"/>
          <w:b/>
          <w:lang w:val="es-MX"/>
        </w:rPr>
        <w:t xml:space="preserve"> Por grupo de gasto</w:t>
      </w:r>
    </w:p>
    <w:p w14:paraId="1687095F" w14:textId="05D6F553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</w:t>
      </w:r>
      <w:r w:rsidR="00F61D80">
        <w:rPr>
          <w:rFonts w:ascii="Arial" w:hAnsi="Arial" w:cs="Arial"/>
          <w:b/>
          <w:lang w:val="es-MX"/>
        </w:rPr>
        <w:t>marzo</w:t>
      </w:r>
      <w:r>
        <w:rPr>
          <w:rFonts w:ascii="Arial" w:hAnsi="Arial" w:cs="Arial"/>
          <w:b/>
          <w:lang w:val="es-MX"/>
        </w:rPr>
        <w:t xml:space="preserve"> de 2024</w:t>
      </w:r>
    </w:p>
    <w:p w14:paraId="557F4219" w14:textId="77777777" w:rsidR="00AB38F5" w:rsidRPr="003D4600" w:rsidRDefault="00AB38F5" w:rsidP="00AB38F5">
      <w:pPr>
        <w:rPr>
          <w:noProof/>
          <w:sz w:val="12"/>
          <w:szCs w:val="12"/>
          <w:lang w:eastAsia="es-GT"/>
        </w:rPr>
      </w:pPr>
    </w:p>
    <w:p w14:paraId="0E17A8F4" w14:textId="4027D709" w:rsidR="00AB38F5" w:rsidRDefault="00F61D80" w:rsidP="00AB38F5">
      <w:pPr>
        <w:rPr>
          <w:noProof/>
          <w:lang w:eastAsia="es-GT"/>
        </w:rPr>
      </w:pPr>
      <w:r w:rsidRPr="00F61D80">
        <w:rPr>
          <w:noProof/>
        </w:rPr>
        <w:drawing>
          <wp:inline distT="0" distB="0" distL="0" distR="0" wp14:anchorId="6619CEDF" wp14:editId="64C38505">
            <wp:extent cx="5612130" cy="6363182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36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95363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2CC0C007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DB4802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DB4802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799395D2" w14:textId="77777777" w:rsidR="00AB38F5" w:rsidRPr="009A5901" w:rsidRDefault="00AB38F5" w:rsidP="00AB38F5">
      <w:pPr>
        <w:jc w:val="center"/>
        <w:rPr>
          <w:rFonts w:ascii="Arial" w:hAnsi="Arial" w:cs="Arial"/>
          <w:b/>
          <w:sz w:val="18"/>
          <w:lang w:val="es-MX"/>
        </w:rPr>
      </w:pPr>
    </w:p>
    <w:p w14:paraId="2DE78BDB" w14:textId="77777777" w:rsidR="00AB38F5" w:rsidRPr="00DD5AAA" w:rsidRDefault="00AB38F5" w:rsidP="00AB38F5">
      <w:pPr>
        <w:jc w:val="center"/>
        <w:rPr>
          <w:rFonts w:ascii="Arial" w:hAnsi="Arial" w:cs="Arial"/>
          <w:b/>
          <w:sz w:val="28"/>
          <w:lang w:val="es-MX"/>
        </w:rPr>
      </w:pPr>
      <w:r w:rsidRPr="00DD5AAA">
        <w:rPr>
          <w:rFonts w:ascii="Arial" w:hAnsi="Arial" w:cs="Arial"/>
          <w:b/>
          <w:sz w:val="28"/>
          <w:lang w:val="es-MX"/>
        </w:rPr>
        <w:lastRenderedPageBreak/>
        <w:t>Informe de Ejecución de Cuota</w:t>
      </w:r>
    </w:p>
    <w:p w14:paraId="26ED200F" w14:textId="77777777" w:rsidR="00AB38F5" w:rsidRPr="00766A90" w:rsidRDefault="00AB38F5" w:rsidP="00AB38F5">
      <w:pPr>
        <w:jc w:val="center"/>
        <w:rPr>
          <w:rFonts w:ascii="Arial" w:hAnsi="Arial" w:cs="Arial"/>
          <w:b/>
          <w:lang w:val="es-MX"/>
        </w:rPr>
      </w:pPr>
    </w:p>
    <w:p w14:paraId="71F3AE92" w14:textId="76B37A1E" w:rsidR="00AB38F5" w:rsidRDefault="00AB38F5" w:rsidP="00AB38F5">
      <w:pPr>
        <w:jc w:val="both"/>
        <w:rPr>
          <w:rFonts w:ascii="Arial" w:hAnsi="Arial" w:cs="Arial"/>
          <w:lang w:val="es-MX"/>
        </w:rPr>
      </w:pPr>
      <w:r w:rsidRPr="00E40056">
        <w:rPr>
          <w:rFonts w:ascii="Arial" w:hAnsi="Arial" w:cs="Arial"/>
          <w:lang w:val="es-MX"/>
        </w:rPr>
        <w:t>A través del presente cuadro, se detalla el comportamiento del uso de las cuotas por las distintas fuentes de financiamiento</w:t>
      </w:r>
      <w:r>
        <w:rPr>
          <w:rFonts w:ascii="Arial" w:hAnsi="Arial" w:cs="Arial"/>
          <w:lang w:val="es-MX"/>
        </w:rPr>
        <w:t xml:space="preserve">, mes de </w:t>
      </w:r>
      <w:r w:rsidR="00F61D80">
        <w:rPr>
          <w:rFonts w:ascii="Arial" w:hAnsi="Arial" w:cs="Arial"/>
          <w:lang w:val="es-MX"/>
        </w:rPr>
        <w:t>marzo</w:t>
      </w:r>
      <w:r>
        <w:rPr>
          <w:rFonts w:ascii="Arial" w:hAnsi="Arial" w:cs="Arial"/>
          <w:lang w:val="es-MX"/>
        </w:rPr>
        <w:t xml:space="preserve"> de 2024:</w:t>
      </w:r>
    </w:p>
    <w:p w14:paraId="2C7D100D" w14:textId="77777777" w:rsidR="00AB38F5" w:rsidRDefault="00AB38F5" w:rsidP="00AB38F5">
      <w:pPr>
        <w:jc w:val="both"/>
        <w:rPr>
          <w:rFonts w:ascii="Arial" w:hAnsi="Arial" w:cs="Arial"/>
          <w:lang w:val="es-MX"/>
        </w:rPr>
      </w:pPr>
    </w:p>
    <w:p w14:paraId="54DD83AF" w14:textId="3D83BA19" w:rsidR="00AB38F5" w:rsidRDefault="00F61D80" w:rsidP="00AB38F5">
      <w:pPr>
        <w:jc w:val="both"/>
        <w:rPr>
          <w:rFonts w:ascii="Arial" w:hAnsi="Arial" w:cs="Arial"/>
          <w:lang w:val="es-MX"/>
        </w:rPr>
      </w:pPr>
      <w:r w:rsidRPr="00F61D80">
        <w:rPr>
          <w:noProof/>
        </w:rPr>
        <w:drawing>
          <wp:inline distT="0" distB="0" distL="0" distR="0" wp14:anchorId="6590D537" wp14:editId="60CFDE06">
            <wp:extent cx="5612130" cy="5036297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03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1BCEB" w14:textId="77777777" w:rsidR="00AB38F5" w:rsidRDefault="00AB38F5" w:rsidP="00AB38F5">
      <w:pPr>
        <w:jc w:val="center"/>
        <w:rPr>
          <w:rFonts w:ascii="Arial" w:hAnsi="Arial" w:cs="Arial"/>
          <w:b/>
          <w:color w:val="000000" w:themeColor="text1"/>
          <w:sz w:val="12"/>
          <w:szCs w:val="16"/>
        </w:rPr>
      </w:pPr>
    </w:p>
    <w:p w14:paraId="3089763D" w14:textId="77777777" w:rsidR="00AB38F5" w:rsidRPr="009A5901" w:rsidRDefault="00AB38F5" w:rsidP="00AB38F5">
      <w:pPr>
        <w:jc w:val="center"/>
        <w:rPr>
          <w:rFonts w:ascii="Arial" w:hAnsi="Arial" w:cs="Arial"/>
          <w:sz w:val="8"/>
          <w:szCs w:val="12"/>
          <w:lang w:val="es-MX"/>
        </w:rPr>
      </w:pPr>
      <w:r w:rsidRPr="00BD21C0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BD21C0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2489C719" w14:textId="77777777" w:rsidR="00AB38F5" w:rsidRPr="00E74C67" w:rsidRDefault="00AB38F5" w:rsidP="00AB38F5">
      <w:pPr>
        <w:rPr>
          <w:rFonts w:ascii="Arial" w:hAnsi="Arial" w:cs="Arial"/>
          <w:sz w:val="12"/>
          <w:szCs w:val="12"/>
          <w:lang w:val="es-MX"/>
        </w:rPr>
      </w:pPr>
    </w:p>
    <w:p w14:paraId="54A7C1C1" w14:textId="77777777" w:rsidR="00AB38F5" w:rsidRDefault="00AB38F5" w:rsidP="00AB38F5">
      <w:pPr>
        <w:rPr>
          <w:rFonts w:ascii="Times New Roman" w:hAnsi="Times New Roman"/>
        </w:rPr>
      </w:pPr>
    </w:p>
    <w:p w14:paraId="42C0E161" w14:textId="77777777" w:rsidR="00AB38F5" w:rsidRDefault="00AB38F5" w:rsidP="00AB38F5">
      <w:pPr>
        <w:rPr>
          <w:rFonts w:ascii="Times New Roman" w:hAnsi="Times New Roman"/>
        </w:rPr>
      </w:pPr>
    </w:p>
    <w:p w14:paraId="7C931F06" w14:textId="77777777" w:rsidR="00AB38F5" w:rsidRDefault="00AB38F5" w:rsidP="00AB38F5">
      <w:pPr>
        <w:rPr>
          <w:rFonts w:ascii="Times New Roman" w:hAnsi="Times New Roman"/>
        </w:rPr>
      </w:pPr>
    </w:p>
    <w:p w14:paraId="331A32C0" w14:textId="77777777" w:rsidR="00AB38F5" w:rsidRDefault="00AB38F5" w:rsidP="00AB38F5">
      <w:pPr>
        <w:rPr>
          <w:rFonts w:ascii="Times New Roman" w:hAnsi="Times New Roman"/>
        </w:rPr>
      </w:pPr>
    </w:p>
    <w:sectPr w:rsidR="00AB38F5" w:rsidSect="009571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6809" w14:textId="77777777" w:rsidR="009571B6" w:rsidRDefault="009571B6" w:rsidP="00950217">
      <w:r>
        <w:separator/>
      </w:r>
    </w:p>
  </w:endnote>
  <w:endnote w:type="continuationSeparator" w:id="0">
    <w:p w14:paraId="69E3D59D" w14:textId="77777777" w:rsidR="009571B6" w:rsidRDefault="009571B6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3923" w14:textId="77777777" w:rsidR="009571B6" w:rsidRDefault="009571B6" w:rsidP="00950217">
      <w:r>
        <w:separator/>
      </w:r>
    </w:p>
  </w:footnote>
  <w:footnote w:type="continuationSeparator" w:id="0">
    <w:p w14:paraId="2C7CEB59" w14:textId="77777777" w:rsidR="009571B6" w:rsidRDefault="009571B6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62442"/>
    <w:rsid w:val="000638DF"/>
    <w:rsid w:val="00100102"/>
    <w:rsid w:val="00183A5B"/>
    <w:rsid w:val="002A561E"/>
    <w:rsid w:val="002A7104"/>
    <w:rsid w:val="002C2478"/>
    <w:rsid w:val="002E52C2"/>
    <w:rsid w:val="00313F7D"/>
    <w:rsid w:val="0037225F"/>
    <w:rsid w:val="00507D19"/>
    <w:rsid w:val="005C4EEB"/>
    <w:rsid w:val="006E1C78"/>
    <w:rsid w:val="006E32FB"/>
    <w:rsid w:val="00733A93"/>
    <w:rsid w:val="008254BC"/>
    <w:rsid w:val="00870270"/>
    <w:rsid w:val="00891D77"/>
    <w:rsid w:val="008973EC"/>
    <w:rsid w:val="008E47E2"/>
    <w:rsid w:val="0090788B"/>
    <w:rsid w:val="00950217"/>
    <w:rsid w:val="009571B6"/>
    <w:rsid w:val="009F7CFB"/>
    <w:rsid w:val="00A020F8"/>
    <w:rsid w:val="00A07044"/>
    <w:rsid w:val="00A34B00"/>
    <w:rsid w:val="00AB38F5"/>
    <w:rsid w:val="00BB35A3"/>
    <w:rsid w:val="00BE4C5C"/>
    <w:rsid w:val="00BE4DD6"/>
    <w:rsid w:val="00BE6DE5"/>
    <w:rsid w:val="00C07E0B"/>
    <w:rsid w:val="00CB25CE"/>
    <w:rsid w:val="00CB2A75"/>
    <w:rsid w:val="00CF72F1"/>
    <w:rsid w:val="00E301A8"/>
    <w:rsid w:val="00EB2464"/>
    <w:rsid w:val="00ED2FA1"/>
    <w:rsid w:val="00F61D80"/>
    <w:rsid w:val="00F7732C"/>
    <w:rsid w:val="00F8626B"/>
    <w:rsid w:val="00FB2180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14</cp:revision>
  <cp:lastPrinted>2024-01-15T21:26:00Z</cp:lastPrinted>
  <dcterms:created xsi:type="dcterms:W3CDTF">2024-02-01T19:35:00Z</dcterms:created>
  <dcterms:modified xsi:type="dcterms:W3CDTF">2024-04-03T20:34:00Z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