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0173" w14:textId="77777777" w:rsidR="00675EF5" w:rsidRDefault="00675EF5" w:rsidP="00046229">
      <w:pPr>
        <w:pStyle w:val="NormalWeb"/>
        <w:spacing w:before="0" w:beforeAutospacing="0" w:after="0" w:afterAutospacing="0"/>
        <w:ind w:left="708" w:hanging="708"/>
        <w:rPr>
          <w:rFonts w:ascii="Verdana" w:hAnsi="Verdana" w:cs="Arial"/>
          <w:b/>
          <w:color w:val="002060"/>
          <w:sz w:val="48"/>
        </w:rPr>
      </w:pPr>
    </w:p>
    <w:p w14:paraId="163483C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7B02B74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C7FE9E4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123CA746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3BE9DAEF" w14:textId="77777777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1580C6A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08511D75" w14:textId="77777777" w:rsidR="00C074DA" w:rsidRPr="007A7938" w:rsidRDefault="003A44E7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 xml:space="preserve">Abril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14:paraId="2AE3B47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C903F4E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4D98501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7D03FF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B32E74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2AE08FDA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FB62FC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E11074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E5135A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C8492CD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2500865C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202F40A1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FCF25B9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8E6FDC0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30A19CE5" w14:textId="77777777" w:rsidR="00C074DA" w:rsidRPr="007A7938" w:rsidRDefault="003A44E7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ABRIL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14:paraId="430CD77B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5EB35ECD" w14:textId="77777777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2248C580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5CCD8FF9" w14:textId="77777777" w:rsidR="00C074DA" w:rsidRPr="007A7938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Q100,103,848.00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9903A6" w:rsidRP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14,</w:t>
      </w:r>
      <w:r w:rsidR="00FC7EE7">
        <w:rPr>
          <w:rFonts w:ascii="Verdana" w:eastAsia="Calibri" w:hAnsi="Verdana" w:cs="Arial"/>
          <w:b/>
          <w:szCs w:val="24"/>
          <w:lang w:val="es-MX" w:eastAsia="en-US"/>
        </w:rPr>
        <w:t>309</w:t>
      </w:r>
      <w:r w:rsidR="00046229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FC7EE7">
        <w:rPr>
          <w:rFonts w:ascii="Verdana" w:eastAsia="Calibri" w:hAnsi="Verdana" w:cs="Arial"/>
          <w:b/>
          <w:szCs w:val="24"/>
          <w:lang w:val="es-MX" w:eastAsia="en-US"/>
        </w:rPr>
        <w:t>852.00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1FAA">
        <w:rPr>
          <w:rFonts w:ascii="Verdana" w:eastAsia="Calibri" w:hAnsi="Verdana" w:cs="Arial"/>
          <w:szCs w:val="24"/>
          <w:lang w:val="es-MX" w:eastAsia="en-US"/>
        </w:rPr>
        <w:t>quedando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szCs w:val="24"/>
          <w:lang w:val="es-MX" w:eastAsia="en-US"/>
        </w:rPr>
        <w:t>un</w:t>
      </w:r>
      <w:r>
        <w:rPr>
          <w:rFonts w:ascii="Verdana" w:eastAsia="Calibri" w:hAnsi="Verdana" w:cs="Arial"/>
          <w:szCs w:val="24"/>
          <w:lang w:val="es-MX" w:eastAsia="en-US"/>
        </w:rPr>
        <w:t xml:space="preserve"> saldo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vigente de</w:t>
      </w:r>
      <w:r w:rsidR="00FC7EE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C7EE7">
        <w:rPr>
          <w:rFonts w:ascii="Verdana" w:eastAsia="Calibri" w:hAnsi="Verdana" w:cs="Arial"/>
          <w:b/>
          <w:szCs w:val="24"/>
          <w:lang w:val="es-MX" w:eastAsia="en-US"/>
        </w:rPr>
        <w:t>Q85,793,996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 w:rsidR="00BA1FAA">
        <w:rPr>
          <w:rFonts w:ascii="Verdana" w:eastAsia="Calibri" w:hAnsi="Verdana" w:cs="Arial"/>
          <w:szCs w:val="24"/>
          <w:lang w:val="es-MX" w:eastAsia="en-US"/>
        </w:rPr>
        <w:t>,</w:t>
      </w:r>
      <w:r w:rsidR="00B2791B">
        <w:rPr>
          <w:rFonts w:ascii="Verdana" w:eastAsia="Calibri" w:hAnsi="Verdana" w:cs="Arial"/>
          <w:szCs w:val="24"/>
          <w:lang w:val="es-MX" w:eastAsia="en-US"/>
        </w:rPr>
        <w:t xml:space="preserve"> del cual </w:t>
      </w:r>
      <w:r w:rsidR="007854D3">
        <w:rPr>
          <w:rFonts w:ascii="Verdana" w:eastAsia="Calibri" w:hAnsi="Verdana" w:cs="Arial"/>
          <w:szCs w:val="24"/>
          <w:lang w:val="es-MX" w:eastAsia="en-US"/>
        </w:rPr>
        <w:t>lleva una ejecución acumulada de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C7EE7">
        <w:rPr>
          <w:rFonts w:ascii="Verdana" w:eastAsia="Calibri" w:hAnsi="Verdana" w:cs="Arial"/>
          <w:b/>
          <w:szCs w:val="24"/>
          <w:lang w:val="es-MX" w:eastAsia="en-US"/>
        </w:rPr>
        <w:t>19,</w:t>
      </w:r>
      <w:r w:rsidR="00610FD8">
        <w:rPr>
          <w:rFonts w:ascii="Verdana" w:eastAsia="Calibri" w:hAnsi="Verdana" w:cs="Arial"/>
          <w:b/>
          <w:szCs w:val="24"/>
          <w:lang w:val="es-MX" w:eastAsia="en-US"/>
        </w:rPr>
        <w:t>413,289.05</w:t>
      </w:r>
      <w:r w:rsidR="00046229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2804D3">
        <w:rPr>
          <w:rFonts w:ascii="Verdana" w:eastAsia="Calibri" w:hAnsi="Verdana" w:cs="Arial"/>
          <w:szCs w:val="24"/>
          <w:lang w:val="es-MX" w:eastAsia="en-US"/>
        </w:rPr>
        <w:t>millones</w:t>
      </w:r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FC7EE7">
        <w:rPr>
          <w:rFonts w:ascii="Verdana" w:eastAsia="Calibri" w:hAnsi="Verdana" w:cs="Arial"/>
          <w:b/>
          <w:szCs w:val="24"/>
          <w:lang w:val="es-MX" w:eastAsia="en-US"/>
        </w:rPr>
        <w:t>23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55192071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3FFE78DA" w14:textId="77777777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06F08F5" w14:textId="77777777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5EB75699" w14:textId="77777777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3A82233E" w14:textId="77777777" w:rsidR="00FC7EE7" w:rsidRDefault="00FC7EE7" w:rsidP="00C074DA">
      <w:pPr>
        <w:jc w:val="center"/>
        <w:rPr>
          <w:rFonts w:ascii="Verdana" w:hAnsi="Verdana" w:cs="Arial"/>
          <w:b/>
          <w:lang w:val="es-MX"/>
        </w:rPr>
      </w:pPr>
    </w:p>
    <w:p w14:paraId="2D8EDE70" w14:textId="77777777" w:rsidR="00FC7EE7" w:rsidRDefault="00610FD8" w:rsidP="00CF2FCF">
      <w:pPr>
        <w:jc w:val="both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2520DF76" wp14:editId="22CC3960">
            <wp:simplePos x="0" y="0"/>
            <wp:positionH relativeFrom="column">
              <wp:posOffset>471170</wp:posOffset>
            </wp:positionH>
            <wp:positionV relativeFrom="paragraph">
              <wp:posOffset>1905</wp:posOffset>
            </wp:positionV>
            <wp:extent cx="4822825" cy="3165475"/>
            <wp:effectExtent l="0" t="0" r="15875" b="15875"/>
            <wp:wrapTight wrapText="bothSides">
              <wp:wrapPolygon edited="0">
                <wp:start x="0" y="0"/>
                <wp:lineTo x="0" y="21578"/>
                <wp:lineTo x="21586" y="21578"/>
                <wp:lineTo x="21586" y="0"/>
                <wp:lineTo x="0" y="0"/>
              </wp:wrapPolygon>
            </wp:wrapTight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82B27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79C6769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63804BC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E1A4EC1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24C0D44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7AA5CAA8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55C90E2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B2EFFB4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5144873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162C3620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9253501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636F36DC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C988B69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3290DCA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1902E5A3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1F305D3B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1D75710F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D7F1102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EBC5B48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B06C607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3DE7D176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15B6A52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B0A8616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DC6B99B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5BCB5CD1" w14:textId="77777777" w:rsidR="00625A7A" w:rsidRDefault="00625A7A" w:rsidP="00CF2FCF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3B4967E" w14:textId="77777777" w:rsidR="00046229" w:rsidRPr="00046229" w:rsidRDefault="00046229" w:rsidP="00CF2FCF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FC7EE7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FC7EE7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 w:rsidR="00FC7EE7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16:51</w:t>
      </w:r>
    </w:p>
    <w:p w14:paraId="61FE2E12" w14:textId="77777777" w:rsidR="00FC7EE7" w:rsidRDefault="00FC7EE7" w:rsidP="00C074DA">
      <w:pPr>
        <w:jc w:val="center"/>
        <w:rPr>
          <w:rFonts w:ascii="Verdana" w:hAnsi="Verdana" w:cs="Arial"/>
          <w:b/>
          <w:lang w:val="es-MX"/>
        </w:rPr>
      </w:pPr>
    </w:p>
    <w:p w14:paraId="6F3A619F" w14:textId="77777777" w:rsidR="00FC7EE7" w:rsidRDefault="00FC7EE7" w:rsidP="00C074DA">
      <w:pPr>
        <w:jc w:val="center"/>
        <w:rPr>
          <w:rFonts w:ascii="Verdana" w:hAnsi="Verdana" w:cs="Arial"/>
          <w:b/>
          <w:lang w:val="es-MX"/>
        </w:rPr>
      </w:pPr>
    </w:p>
    <w:p w14:paraId="2DBFFEF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2</w:t>
      </w:r>
    </w:p>
    <w:p w14:paraId="39A5C484" w14:textId="77777777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2770D3EC" w14:textId="77777777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2E7EC1A7" w14:textId="77777777"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4FD7F0FE" w14:textId="77777777" w:rsidR="00C074DA" w:rsidRPr="007A7938" w:rsidRDefault="00610FD8" w:rsidP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943578A" wp14:editId="4E69DCC6">
            <wp:simplePos x="0" y="0"/>
            <wp:positionH relativeFrom="margin">
              <wp:posOffset>-337982</wp:posOffset>
            </wp:positionH>
            <wp:positionV relativeFrom="margin">
              <wp:posOffset>1287208</wp:posOffset>
            </wp:positionV>
            <wp:extent cx="6572030" cy="3008544"/>
            <wp:effectExtent l="0" t="0" r="635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30" cy="300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52B7F" w14:textId="7777777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3AA27E34" w14:textId="77777777"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16:51</w:t>
      </w:r>
    </w:p>
    <w:p w14:paraId="06D06D48" w14:textId="77777777" w:rsidR="00CF2FCF" w:rsidRDefault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04FD1536" w14:textId="77777777" w:rsidR="00CF2FCF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 xml:space="preserve">de los </w:t>
      </w:r>
    </w:p>
    <w:p w14:paraId="7C2378FA" w14:textId="77777777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77E51025" w14:textId="77777777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29A94910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14:paraId="5E64BAC2" w14:textId="77777777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595D9D69" w14:textId="77777777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776CA56D" w14:textId="77777777" w:rsidR="00F15D46" w:rsidRDefault="00F15D46" w:rsidP="00C074DA">
      <w:pPr>
        <w:jc w:val="center"/>
        <w:rPr>
          <w:rFonts w:ascii="Verdana" w:hAnsi="Verdana" w:cs="Arial"/>
          <w:b/>
          <w:lang w:val="es-MX"/>
        </w:rPr>
      </w:pPr>
    </w:p>
    <w:p w14:paraId="1E133019" w14:textId="77777777" w:rsidR="00F15D46" w:rsidRDefault="00610FD8" w:rsidP="00C074DA">
      <w:pPr>
        <w:jc w:val="center"/>
        <w:rPr>
          <w:noProof/>
          <w:lang w:eastAsia="es-GT"/>
        </w:rPr>
      </w:pPr>
      <w:r w:rsidRPr="00610FD8">
        <w:rPr>
          <w:noProof/>
          <w:lang w:eastAsia="es-GT"/>
        </w:rPr>
        <w:drawing>
          <wp:inline distT="0" distB="0" distL="0" distR="0" wp14:anchorId="15EF02DB" wp14:editId="52BD5065">
            <wp:extent cx="6076286" cy="5809256"/>
            <wp:effectExtent l="19050" t="19050" r="20320" b="203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94" cy="58248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28FF54" w14:textId="77777777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7CD827F5" w14:textId="77777777"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16:51</w:t>
      </w:r>
    </w:p>
    <w:p w14:paraId="0B81D82B" w14:textId="77777777" w:rsidR="00FC1663" w:rsidRDefault="00FC1663" w:rsidP="00C074DA">
      <w:pPr>
        <w:jc w:val="both"/>
        <w:rPr>
          <w:rFonts w:ascii="Verdana" w:hAnsi="Verdana" w:cs="Arial"/>
          <w:lang w:val="es-MX"/>
        </w:rPr>
      </w:pPr>
    </w:p>
    <w:p w14:paraId="0F4EAE55" w14:textId="77777777"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3CD91DFA" w14:textId="77777777" w:rsidR="00610FD8" w:rsidRDefault="00610FD8" w:rsidP="00610FD8">
      <w:pPr>
        <w:rPr>
          <w:rFonts w:ascii="Verdana" w:hAnsi="Verdana" w:cs="Arial"/>
          <w:b/>
          <w:lang w:val="es-MX"/>
        </w:rPr>
      </w:pPr>
    </w:p>
    <w:p w14:paraId="705FDDA1" w14:textId="77777777" w:rsidR="00841AFD" w:rsidRPr="007A7938" w:rsidRDefault="00841AFD" w:rsidP="00610FD8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28C65337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5B7323D8" w14:textId="77777777" w:rsidR="00841AFD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6B32FE84" w14:textId="77777777" w:rsidR="00841AFD" w:rsidRDefault="00841AFD" w:rsidP="00C074DA">
      <w:pPr>
        <w:rPr>
          <w:noProof/>
          <w:lang w:eastAsia="es-GT"/>
        </w:rPr>
      </w:pPr>
    </w:p>
    <w:p w14:paraId="1E5B011F" w14:textId="77777777" w:rsidR="00CF2FCF" w:rsidRDefault="00610FD8" w:rsidP="00C074DA">
      <w:pPr>
        <w:rPr>
          <w:noProof/>
          <w:lang w:eastAsia="es-GT"/>
        </w:rPr>
      </w:pPr>
      <w:r w:rsidRPr="00610FD8">
        <w:rPr>
          <w:noProof/>
          <w:lang w:eastAsia="es-GT"/>
        </w:rPr>
        <w:drawing>
          <wp:inline distT="0" distB="0" distL="0" distR="0" wp14:anchorId="6AC527EB" wp14:editId="28994BCC">
            <wp:extent cx="5612130" cy="3557122"/>
            <wp:effectExtent l="0" t="0" r="762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6BCC8" w14:textId="77777777" w:rsidR="00CF2FCF" w:rsidRPr="007A7938" w:rsidRDefault="00CF2FCF" w:rsidP="00C074DA">
      <w:pPr>
        <w:rPr>
          <w:rFonts w:ascii="Verdana" w:hAnsi="Verdana" w:cs="Arial"/>
          <w:b/>
          <w:lang w:val="es-MX"/>
        </w:rPr>
      </w:pPr>
    </w:p>
    <w:p w14:paraId="48C5192D" w14:textId="77777777"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3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16:51</w:t>
      </w:r>
    </w:p>
    <w:p w14:paraId="4C63A8FE" w14:textId="77777777" w:rsidR="00C074DA" w:rsidRPr="007A7938" w:rsidRDefault="00C074DA" w:rsidP="00C074DA">
      <w:pPr>
        <w:rPr>
          <w:rFonts w:ascii="Verdana" w:hAnsi="Verdana"/>
        </w:rPr>
      </w:pPr>
    </w:p>
    <w:p w14:paraId="2656E35A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6E5CCDAF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794B922E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6333E638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5913E7C1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6BAEC927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2B67C88B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47853B36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5D3D61BB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16DB17FB" w14:textId="77777777" w:rsidR="00610FD8" w:rsidRDefault="00610FD8" w:rsidP="00610FD8">
      <w:pPr>
        <w:jc w:val="center"/>
        <w:rPr>
          <w:rFonts w:ascii="Verdana" w:hAnsi="Verdana" w:cs="Times New Roman"/>
          <w:b/>
        </w:rPr>
      </w:pPr>
    </w:p>
    <w:p w14:paraId="6793FDE6" w14:textId="77777777" w:rsidR="00EB2464" w:rsidRPr="00E1071A" w:rsidRDefault="00610FD8" w:rsidP="00610FD8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lastRenderedPageBreak/>
        <w:t>Cuadro No. 3</w:t>
      </w:r>
    </w:p>
    <w:p w14:paraId="33803FF1" w14:textId="77777777" w:rsidR="00610FD8" w:rsidRDefault="00E1071A" w:rsidP="00610FD8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7429F039" w14:textId="77777777" w:rsidR="002C2E2E" w:rsidRDefault="002C2E2E" w:rsidP="00610FD8">
      <w:pPr>
        <w:jc w:val="center"/>
        <w:rPr>
          <w:rFonts w:ascii="Verdana" w:hAnsi="Verdana" w:cs="Times New Roman"/>
          <w:b/>
        </w:rPr>
      </w:pPr>
    </w:p>
    <w:p w14:paraId="7E8C4762" w14:textId="2A8D749A" w:rsidR="002C2E2E" w:rsidRPr="00E1071A" w:rsidRDefault="002C2E2E" w:rsidP="00610FD8">
      <w:pPr>
        <w:jc w:val="center"/>
        <w:rPr>
          <w:rFonts w:ascii="Verdana" w:hAnsi="Verdana" w:cs="Times New Roman"/>
          <w:b/>
        </w:rPr>
      </w:pPr>
      <w:r w:rsidRPr="002C2E2E">
        <w:drawing>
          <wp:inline distT="0" distB="0" distL="0" distR="0" wp14:anchorId="70D3D306" wp14:editId="4AA8F272">
            <wp:extent cx="6286657" cy="2409245"/>
            <wp:effectExtent l="0" t="0" r="0" b="0"/>
            <wp:docPr id="635328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74" cy="24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BCCB" w14:textId="77777777" w:rsidR="00610FD8" w:rsidRDefault="00610FD8" w:rsidP="00610FD8">
      <w:pPr>
        <w:jc w:val="center"/>
        <w:rPr>
          <w:rFonts w:ascii="Verdana" w:hAnsi="Verdana" w:cs="Times New Roman"/>
        </w:rPr>
      </w:pPr>
    </w:p>
    <w:p w14:paraId="5B549315" w14:textId="2E967934" w:rsidR="00610FD8" w:rsidRPr="00610FD8" w:rsidRDefault="00610FD8" w:rsidP="00610FD8">
      <w:pPr>
        <w:jc w:val="center"/>
        <w:rPr>
          <w:rFonts w:ascii="Verdana" w:hAnsi="Verdana" w:cs="Times New Roman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5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08:51 AM</w:t>
      </w:r>
    </w:p>
    <w:p w14:paraId="569B7694" w14:textId="77777777" w:rsidR="00610FD8" w:rsidRPr="007A7938" w:rsidRDefault="00610FD8" w:rsidP="1A98FAC5">
      <w:pPr>
        <w:rPr>
          <w:rFonts w:ascii="Verdana" w:hAnsi="Verdana" w:cs="Times New Roman"/>
        </w:rPr>
      </w:pPr>
    </w:p>
    <w:sectPr w:rsidR="00610FD8" w:rsidRPr="007A7938" w:rsidSect="005814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AA88" w14:textId="77777777" w:rsidR="008C2A50" w:rsidRDefault="008C2A50" w:rsidP="00950217">
      <w:r>
        <w:separator/>
      </w:r>
    </w:p>
  </w:endnote>
  <w:endnote w:type="continuationSeparator" w:id="0">
    <w:p w14:paraId="52327265" w14:textId="77777777" w:rsidR="008C2A50" w:rsidRDefault="008C2A5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40B5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F5BA" w14:textId="77777777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3101C49" wp14:editId="4C1A189A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678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A544" w14:textId="77777777" w:rsidR="008C2A50" w:rsidRDefault="008C2A50" w:rsidP="00950217">
      <w:r>
        <w:separator/>
      </w:r>
    </w:p>
  </w:footnote>
  <w:footnote w:type="continuationSeparator" w:id="0">
    <w:p w14:paraId="020EC896" w14:textId="77777777" w:rsidR="008C2A50" w:rsidRDefault="008C2A5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A861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D003" w14:textId="77777777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3703C34A" wp14:editId="2667B178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9D1D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34D11"/>
    <w:rsid w:val="00037C84"/>
    <w:rsid w:val="00040280"/>
    <w:rsid w:val="00046229"/>
    <w:rsid w:val="00062442"/>
    <w:rsid w:val="00080465"/>
    <w:rsid w:val="000B1ED4"/>
    <w:rsid w:val="000D41AD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C2478"/>
    <w:rsid w:val="002C2E2E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A44E7"/>
    <w:rsid w:val="003D3A6D"/>
    <w:rsid w:val="003D5A0B"/>
    <w:rsid w:val="004046B0"/>
    <w:rsid w:val="00415F12"/>
    <w:rsid w:val="004519CB"/>
    <w:rsid w:val="004576D9"/>
    <w:rsid w:val="004B5560"/>
    <w:rsid w:val="004D5152"/>
    <w:rsid w:val="004E0627"/>
    <w:rsid w:val="004F376F"/>
    <w:rsid w:val="00500CFE"/>
    <w:rsid w:val="00502924"/>
    <w:rsid w:val="00507D19"/>
    <w:rsid w:val="00516AFA"/>
    <w:rsid w:val="0053060C"/>
    <w:rsid w:val="00581453"/>
    <w:rsid w:val="005929CC"/>
    <w:rsid w:val="005C4EEB"/>
    <w:rsid w:val="005F4542"/>
    <w:rsid w:val="00605851"/>
    <w:rsid w:val="00610FD8"/>
    <w:rsid w:val="006118C1"/>
    <w:rsid w:val="006218DF"/>
    <w:rsid w:val="00625A7A"/>
    <w:rsid w:val="00666566"/>
    <w:rsid w:val="00675EF5"/>
    <w:rsid w:val="00692896"/>
    <w:rsid w:val="00692DB5"/>
    <w:rsid w:val="006B0A33"/>
    <w:rsid w:val="006D5148"/>
    <w:rsid w:val="006E1C78"/>
    <w:rsid w:val="006E32FB"/>
    <w:rsid w:val="006E7D77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802479"/>
    <w:rsid w:val="0080698C"/>
    <w:rsid w:val="008220D6"/>
    <w:rsid w:val="00841AFD"/>
    <w:rsid w:val="00857178"/>
    <w:rsid w:val="00860F57"/>
    <w:rsid w:val="00870270"/>
    <w:rsid w:val="008805FA"/>
    <w:rsid w:val="00891D77"/>
    <w:rsid w:val="008973EC"/>
    <w:rsid w:val="008A5225"/>
    <w:rsid w:val="008A7D83"/>
    <w:rsid w:val="008C2A50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5017"/>
    <w:rsid w:val="009557D1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1DE9"/>
    <w:rsid w:val="009E3244"/>
    <w:rsid w:val="009F6F83"/>
    <w:rsid w:val="00A07044"/>
    <w:rsid w:val="00A076D9"/>
    <w:rsid w:val="00A104EE"/>
    <w:rsid w:val="00A34B0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90C8D"/>
    <w:rsid w:val="00BA1FAA"/>
    <w:rsid w:val="00BB16CD"/>
    <w:rsid w:val="00BB35A3"/>
    <w:rsid w:val="00BC2193"/>
    <w:rsid w:val="00BC3FAA"/>
    <w:rsid w:val="00BE4C5C"/>
    <w:rsid w:val="00BE6DE5"/>
    <w:rsid w:val="00BF2E35"/>
    <w:rsid w:val="00C074DA"/>
    <w:rsid w:val="00C07E0B"/>
    <w:rsid w:val="00C157E4"/>
    <w:rsid w:val="00C34A43"/>
    <w:rsid w:val="00C511F4"/>
    <w:rsid w:val="00CA1ED9"/>
    <w:rsid w:val="00CA4EC7"/>
    <w:rsid w:val="00CB1825"/>
    <w:rsid w:val="00CD4E83"/>
    <w:rsid w:val="00CE20BF"/>
    <w:rsid w:val="00CE67C0"/>
    <w:rsid w:val="00CF2FCF"/>
    <w:rsid w:val="00CF69A4"/>
    <w:rsid w:val="00CF72F1"/>
    <w:rsid w:val="00D11FC6"/>
    <w:rsid w:val="00D21DA3"/>
    <w:rsid w:val="00D23EB3"/>
    <w:rsid w:val="00D32EBE"/>
    <w:rsid w:val="00D44B9E"/>
    <w:rsid w:val="00D61975"/>
    <w:rsid w:val="00D66C54"/>
    <w:rsid w:val="00D817B9"/>
    <w:rsid w:val="00DB339D"/>
    <w:rsid w:val="00DB4BFF"/>
    <w:rsid w:val="00DC03D2"/>
    <w:rsid w:val="00DC2D2A"/>
    <w:rsid w:val="00DF76E2"/>
    <w:rsid w:val="00E00C3C"/>
    <w:rsid w:val="00E025C2"/>
    <w:rsid w:val="00E1071A"/>
    <w:rsid w:val="00E301A8"/>
    <w:rsid w:val="00E336ED"/>
    <w:rsid w:val="00E44F66"/>
    <w:rsid w:val="00E4566E"/>
    <w:rsid w:val="00E46A98"/>
    <w:rsid w:val="00E65117"/>
    <w:rsid w:val="00E947B9"/>
    <w:rsid w:val="00EA662E"/>
    <w:rsid w:val="00EB0FF6"/>
    <w:rsid w:val="00EB15C3"/>
    <w:rsid w:val="00EB2464"/>
    <w:rsid w:val="00EC4E00"/>
    <w:rsid w:val="00ED2FA1"/>
    <w:rsid w:val="00EE61DE"/>
    <w:rsid w:val="00F15D46"/>
    <w:rsid w:val="00F4256A"/>
    <w:rsid w:val="00F6441D"/>
    <w:rsid w:val="00F86753"/>
    <w:rsid w:val="00F95E00"/>
    <w:rsid w:val="00FA6C4E"/>
    <w:rsid w:val="00FC1663"/>
    <w:rsid w:val="00FC7EE7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144DA1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wnloads\Presupuesto%20por%20Dependencias%20acumulado%20Abril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91886324800031E-2"/>
          <c:y val="5.6726474764424939E-2"/>
          <c:w val="0.96895621437367274"/>
          <c:h val="0.94071324051157212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2">
                  <a:lumMod val="20000"/>
                  <a:lumOff val="80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9F-495B-81FE-C772A7346DDA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9F-495B-81FE-C772A7346DDA}"/>
              </c:ext>
            </c:extLst>
          </c:dPt>
          <c:dLbls>
            <c:dLbl>
              <c:idx val="0"/>
              <c:layout>
                <c:manualLayout>
                  <c:x val="-3.3797618615645392E-5"/>
                  <c:y val="5.206090713084134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15D3E531-44D1-485D-A4E3-86B4B4435C44}" type="CATEGORYNAME">
                      <a:rPr lang="en-US" sz="8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526B43EC-FAEB-483B-B71F-ED95532A5B75}" type="VALU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23%</a:t>
                    </a:r>
                  </a:p>
                </c:rich>
              </c:tx>
              <c:spPr>
                <a:solidFill>
                  <a:schemeClr val="accent1">
                    <a:lumMod val="20000"/>
                    <a:lumOff val="8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216698719111725"/>
                      <c:h val="0.161213403991502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9F-495B-81FE-C772A7346DDA}"/>
                </c:ext>
              </c:extLst>
            </c:dLbl>
            <c:dLbl>
              <c:idx val="1"/>
              <c:layout>
                <c:manualLayout>
                  <c:x val="3.8183222488893956E-2"/>
                  <c:y val="-0.1828998807445959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206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4A224579-3369-41A1-B763-078FA48B0A1A}" type="CATEGORYNAME">
                      <a:rPr lang="en-US" sz="8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18549C62-ACF6-45F7-B094-22DBE940B66E}" type="VALU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fld id="{8EFFD6C0-EDD9-45D5-9F02-35C31D65D74D}" type="PERCENTAGE">
                      <a:rPr lang="en-US" sz="800" b="1" baseline="0">
                        <a:solidFill>
                          <a:srgbClr val="00206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206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s-GT"/>
                  </a:p>
                </c:rich>
              </c:tx>
              <c:spPr>
                <a:solidFill>
                  <a:schemeClr val="accent1">
                    <a:lumMod val="20000"/>
                    <a:lumOff val="8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206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12454318786189"/>
                      <c:h val="0.180986107930089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19F-495B-81FE-C772A7346DDA}"/>
                </c:ext>
              </c:extLst>
            </c:dLbl>
            <c:spPr>
              <a:noFill/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'[Presupuesto por Dependencias acumulado Abril 2025.xlsx]Asuntos Registrales'!$H$3:$I$3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'[Presupuesto por Dependencias acumulado Abril 2025.xlsx]Asuntos Registrales'!$H$45:$I$45</c:f>
              <c:numCache>
                <c:formatCode>_(* #,##0.00_);_(* \(#,##0.00\);_(* "-"??_);_(@_)</c:formatCode>
                <c:ptCount val="2"/>
                <c:pt idx="0">
                  <c:v>19413289.050000001</c:v>
                </c:pt>
                <c:pt idx="1">
                  <c:v>66380706.950000003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9F-495B-81FE-C772A7346DD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2A20-BBA6-49EA-B9C5-FBBEE0A5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5</cp:revision>
  <cp:lastPrinted>2025-05-05T23:22:00Z</cp:lastPrinted>
  <dcterms:created xsi:type="dcterms:W3CDTF">2025-05-05T15:44:00Z</dcterms:created>
  <dcterms:modified xsi:type="dcterms:W3CDTF">2025-05-05T23:23:00Z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