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D04C6" w14:textId="2E4DB488" w:rsidR="00DD720C" w:rsidRDefault="00DD720C" w:rsidP="009B035D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74C4F24C" w14:textId="77777777" w:rsidR="002114A1" w:rsidRDefault="002114A1" w:rsidP="009B035D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328AB2F7" w14:textId="77777777" w:rsidR="002114A1" w:rsidRDefault="002114A1" w:rsidP="009B035D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45E4D7A2" w14:textId="77777777" w:rsidR="002114A1" w:rsidRPr="00732114" w:rsidRDefault="002114A1" w:rsidP="009B035D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482DE8F1" w14:textId="76A6C854" w:rsidR="00AB38F5" w:rsidRPr="00732114" w:rsidRDefault="00AB38F5" w:rsidP="00E66286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32114">
        <w:rPr>
          <w:rFonts w:ascii="Verdana" w:hAnsi="Verdana" w:cs="Arial"/>
          <w:b/>
          <w:color w:val="002060"/>
          <w:sz w:val="48"/>
        </w:rPr>
        <w:t>Info</w:t>
      </w:r>
      <w:r w:rsidR="001352BF">
        <w:rPr>
          <w:rFonts w:ascii="Verdana" w:hAnsi="Verdana" w:cs="Arial"/>
          <w:b/>
          <w:color w:val="002060"/>
          <w:sz w:val="48"/>
        </w:rPr>
        <w:t>rme de Ejecución Presupuestaria</w:t>
      </w:r>
    </w:p>
    <w:p w14:paraId="31542D2B" w14:textId="21ABEDFA" w:rsidR="00CB2A75" w:rsidRPr="00732114" w:rsidRDefault="00CB2A75" w:rsidP="00E66286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32114">
        <w:rPr>
          <w:rFonts w:ascii="Verdana" w:hAnsi="Verdana" w:cs="Arial"/>
          <w:b/>
          <w:color w:val="002060"/>
          <w:sz w:val="48"/>
        </w:rPr>
        <w:t>Viceministerio</w:t>
      </w:r>
      <w:r w:rsidR="00A11628" w:rsidRPr="00732114">
        <w:rPr>
          <w:rFonts w:ascii="Verdana" w:hAnsi="Verdana" w:cs="Arial"/>
          <w:b/>
          <w:color w:val="002060"/>
          <w:sz w:val="48"/>
        </w:rPr>
        <w:t xml:space="preserve"> de</w:t>
      </w:r>
    </w:p>
    <w:p w14:paraId="56C8251D" w14:textId="77777777" w:rsidR="00E66286" w:rsidRDefault="00AB38F5" w:rsidP="00E66286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32114">
        <w:rPr>
          <w:rFonts w:ascii="Verdana" w:hAnsi="Verdana" w:cs="Arial"/>
          <w:b/>
          <w:color w:val="002060"/>
          <w:sz w:val="48"/>
        </w:rPr>
        <w:t>Inversión y Competencia</w:t>
      </w:r>
    </w:p>
    <w:p w14:paraId="6A022411" w14:textId="1BBE2B7D" w:rsidR="00AB38F5" w:rsidRPr="00732114" w:rsidRDefault="00E66286" w:rsidP="00E66286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>
        <w:rPr>
          <w:rFonts w:ascii="Verdana" w:hAnsi="Verdana" w:cs="Arial"/>
          <w:b/>
          <w:color w:val="002060"/>
          <w:sz w:val="48"/>
        </w:rPr>
        <w:t>Mayo 2025</w:t>
      </w:r>
    </w:p>
    <w:p w14:paraId="6F2E8374" w14:textId="77777777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6675ECD4" w14:textId="689D7365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7B60D61C" w14:textId="4D02EA01" w:rsidR="009B035D" w:rsidRPr="00732114" w:rsidRDefault="009B035D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03D80FB2" w14:textId="77777777" w:rsidR="009B035D" w:rsidRPr="00732114" w:rsidRDefault="009B035D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72CAC618" w14:textId="77777777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681E880C" w14:textId="77777777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7FED87AA" w14:textId="77777777" w:rsidR="00235A0B" w:rsidRDefault="00235A0B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32B680DC" w14:textId="77777777" w:rsidR="00235A0B" w:rsidRPr="00732114" w:rsidRDefault="00235A0B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5F1244B2" w14:textId="77777777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3846865C" w14:textId="77777777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32114">
        <w:rPr>
          <w:rFonts w:ascii="Verdana" w:hAnsi="Verdana" w:cs="Arial"/>
          <w:b/>
          <w:color w:val="002060"/>
          <w:sz w:val="48"/>
        </w:rPr>
        <w:t>Dirección Financiera</w:t>
      </w:r>
    </w:p>
    <w:p w14:paraId="049D36BE" w14:textId="77777777" w:rsidR="00AB38F5" w:rsidRPr="00732114" w:rsidRDefault="00AB38F5" w:rsidP="00AB38F5">
      <w:pPr>
        <w:jc w:val="center"/>
        <w:rPr>
          <w:rFonts w:ascii="Verdana" w:hAnsi="Verdana" w:cs="Arial"/>
          <w:b/>
          <w:sz w:val="48"/>
        </w:rPr>
      </w:pPr>
    </w:p>
    <w:p w14:paraId="3672AAFC" w14:textId="77777777" w:rsidR="002114A1" w:rsidRDefault="002114A1" w:rsidP="00AB38F5">
      <w:pPr>
        <w:jc w:val="center"/>
        <w:rPr>
          <w:rFonts w:ascii="Verdana" w:hAnsi="Verdana" w:cs="Arial"/>
          <w:b/>
          <w:lang w:val="es-MX"/>
        </w:rPr>
      </w:pPr>
    </w:p>
    <w:p w14:paraId="1348E8BF" w14:textId="77777777" w:rsidR="002114A1" w:rsidRDefault="002114A1" w:rsidP="00AB38F5">
      <w:pPr>
        <w:jc w:val="center"/>
        <w:rPr>
          <w:rFonts w:ascii="Verdana" w:hAnsi="Verdana" w:cs="Arial"/>
          <w:b/>
          <w:lang w:val="es-MX"/>
        </w:rPr>
      </w:pPr>
    </w:p>
    <w:p w14:paraId="5A53B11C" w14:textId="24D4A928" w:rsidR="00AB38F5" w:rsidRPr="00732114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57BE661F" w14:textId="3EA1D65F" w:rsidR="00AB38F5" w:rsidRPr="00732114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DEL VICEMINISTERIO DE INVERSIÓN Y COMPETENCIA</w:t>
      </w:r>
    </w:p>
    <w:p w14:paraId="3E60A321" w14:textId="5D6A0CA3" w:rsidR="00AB38F5" w:rsidRPr="00732114" w:rsidRDefault="00AB38F5" w:rsidP="00687CE4">
      <w:pPr>
        <w:ind w:left="708" w:hanging="708"/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 xml:space="preserve"> </w:t>
      </w:r>
      <w:r w:rsidR="002F6AD0">
        <w:rPr>
          <w:rFonts w:ascii="Verdana" w:hAnsi="Verdana" w:cs="Arial"/>
          <w:b/>
          <w:lang w:val="es-MX"/>
        </w:rPr>
        <w:t xml:space="preserve">MAYO </w:t>
      </w:r>
      <w:r w:rsidR="008075F3">
        <w:rPr>
          <w:rFonts w:ascii="Verdana" w:hAnsi="Verdana" w:cs="Arial"/>
          <w:b/>
          <w:lang w:val="es-MX"/>
        </w:rPr>
        <w:t>2025</w:t>
      </w:r>
    </w:p>
    <w:p w14:paraId="1C5F0A19" w14:textId="70BE7104" w:rsidR="00AB38F5" w:rsidRPr="00732114" w:rsidRDefault="00AB38F5" w:rsidP="00AB38F5">
      <w:pPr>
        <w:rPr>
          <w:rFonts w:ascii="Verdana" w:hAnsi="Verdana" w:cs="Arial"/>
          <w:b/>
          <w:lang w:val="es-MX"/>
        </w:rPr>
      </w:pPr>
    </w:p>
    <w:p w14:paraId="05132426" w14:textId="525708F7" w:rsidR="00AB38F5" w:rsidRPr="00732114" w:rsidRDefault="00322962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 xml:space="preserve">El Viceministerio a través de sus 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>dependencia</w:t>
      </w:r>
      <w:r>
        <w:rPr>
          <w:rFonts w:ascii="Verdana" w:eastAsia="Calibri" w:hAnsi="Verdana" w:cs="Arial"/>
          <w:szCs w:val="24"/>
          <w:lang w:val="es-MX" w:eastAsia="en-US"/>
        </w:rPr>
        <w:t>s,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se encarga </w:t>
      </w:r>
      <w:r w:rsidR="00AE7BBF">
        <w:rPr>
          <w:rFonts w:ascii="Verdana" w:eastAsia="Calibri" w:hAnsi="Verdana" w:cs="Arial"/>
          <w:szCs w:val="24"/>
          <w:lang w:val="es-MX" w:eastAsia="en-US"/>
        </w:rPr>
        <w:t>de</w:t>
      </w:r>
      <w:r w:rsidR="005537AE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AE7BBF">
        <w:rPr>
          <w:rFonts w:ascii="Verdana" w:eastAsia="Calibri" w:hAnsi="Verdana" w:cs="Arial"/>
          <w:szCs w:val="24"/>
          <w:lang w:val="es-MX" w:eastAsia="en-US"/>
        </w:rPr>
        <w:t xml:space="preserve">la </w:t>
      </w:r>
      <w:r w:rsidR="005537AE">
        <w:rPr>
          <w:rFonts w:ascii="Verdana" w:eastAsia="Calibri" w:hAnsi="Verdana" w:cs="Arial"/>
          <w:szCs w:val="24"/>
          <w:lang w:val="es-MX" w:eastAsia="en-US"/>
        </w:rPr>
        <w:t>coordinación</w:t>
      </w:r>
      <w:r w:rsidR="00AE7BBF">
        <w:rPr>
          <w:rFonts w:ascii="Verdana" w:eastAsia="Calibri" w:hAnsi="Verdana" w:cs="Arial"/>
          <w:szCs w:val="24"/>
          <w:lang w:val="es-MX" w:eastAsia="en-US"/>
        </w:rPr>
        <w:t xml:space="preserve"> y gestión administrativa</w:t>
      </w:r>
      <w:r w:rsidR="005537AE">
        <w:rPr>
          <w:rFonts w:ascii="Verdana" w:eastAsia="Calibri" w:hAnsi="Verdana" w:cs="Arial"/>
          <w:szCs w:val="24"/>
          <w:lang w:val="es-MX" w:eastAsia="en-US"/>
        </w:rPr>
        <w:t xml:space="preserve"> de los programas de inversión y competencia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230B4A">
        <w:rPr>
          <w:rFonts w:ascii="Verdana" w:eastAsia="Calibri" w:hAnsi="Verdana" w:cs="Arial"/>
          <w:szCs w:val="24"/>
          <w:lang w:val="es-MX" w:eastAsia="en-US"/>
        </w:rPr>
        <w:t>en materia asistencia al consumidor, reglamentación congruente con tratados y acuerdos comerciales, incentivos de inversión</w:t>
      </w:r>
      <w:r w:rsidR="00AE7BBF">
        <w:rPr>
          <w:rFonts w:ascii="Verdana" w:eastAsia="Calibri" w:hAnsi="Verdana" w:cs="Arial"/>
          <w:szCs w:val="24"/>
          <w:lang w:val="es-MX" w:eastAsia="en-US"/>
        </w:rPr>
        <w:t>, facilitar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información</w:t>
      </w:r>
      <w:r w:rsidR="00AE7BBF">
        <w:rPr>
          <w:rFonts w:ascii="Verdana" w:eastAsia="Calibri" w:hAnsi="Verdana" w:cs="Arial"/>
          <w:szCs w:val="24"/>
          <w:lang w:val="es-MX" w:eastAsia="en-US"/>
        </w:rPr>
        <w:t xml:space="preserve"> de acceso a los mercados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a </w:t>
      </w:r>
      <w:r w:rsidR="00AE7BBF">
        <w:rPr>
          <w:rFonts w:ascii="Verdana" w:eastAsia="Calibri" w:hAnsi="Verdana" w:cs="Arial"/>
          <w:szCs w:val="24"/>
          <w:lang w:val="es-MX" w:eastAsia="en-US"/>
        </w:rPr>
        <w:t>los exportadores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, promover la competencia nacional, </w:t>
      </w:r>
      <w:r w:rsidR="00AE7BBF">
        <w:rPr>
          <w:rFonts w:ascii="Verdana" w:eastAsia="Calibri" w:hAnsi="Verdana" w:cs="Arial"/>
          <w:szCs w:val="24"/>
          <w:lang w:val="es-MX" w:eastAsia="en-US"/>
        </w:rPr>
        <w:t>y otras acciones dentro de su jurisdicción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>.</w:t>
      </w:r>
    </w:p>
    <w:p w14:paraId="4A5E68B9" w14:textId="77777777" w:rsidR="00AB38F5" w:rsidRPr="00732114" w:rsidRDefault="00AB38F5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22E44D69" w14:textId="2B5EF1FB" w:rsidR="00AB38F5" w:rsidRPr="00732114" w:rsidRDefault="00AE7BBF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>Este organismo es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el encargado de ejecutar uno de los programas estratégicos de Gobierno</w:t>
      </w:r>
      <w:r w:rsidR="00B316E3">
        <w:rPr>
          <w:rFonts w:ascii="Verdana" w:eastAsia="Calibri" w:hAnsi="Verdana" w:cs="Arial"/>
          <w:szCs w:val="24"/>
          <w:lang w:val="es-MX" w:eastAsia="en-US"/>
        </w:rPr>
        <w:t xml:space="preserve">, el cual lleva por nombre </w:t>
      </w:r>
      <w:r>
        <w:rPr>
          <w:rFonts w:ascii="Verdana" w:eastAsia="Calibri" w:hAnsi="Verdana" w:cs="Arial"/>
          <w:szCs w:val="24"/>
          <w:lang w:val="es-MX" w:eastAsia="en-US"/>
        </w:rPr>
        <w:t>“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>Apoyo al Incremento de la Competitividad</w:t>
      </w:r>
      <w:r>
        <w:rPr>
          <w:rFonts w:ascii="Verdana" w:eastAsia="Calibri" w:hAnsi="Verdana" w:cs="Arial"/>
          <w:szCs w:val="24"/>
          <w:lang w:val="es-MX" w:eastAsia="en-US"/>
        </w:rPr>
        <w:t>”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, </w:t>
      </w:r>
      <w:r w:rsidR="00B316E3">
        <w:rPr>
          <w:rFonts w:ascii="Verdana" w:eastAsia="Calibri" w:hAnsi="Verdana" w:cs="Arial"/>
          <w:szCs w:val="24"/>
          <w:lang w:val="es-MX" w:eastAsia="en-US"/>
        </w:rPr>
        <w:t>que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busca aumentar la inscripción de títulos de propiedad intelectual y personas individuales y jurídicas que desarrollen actividades mercantiles.</w:t>
      </w:r>
    </w:p>
    <w:p w14:paraId="2B7A8492" w14:textId="77777777" w:rsidR="00AB38F5" w:rsidRPr="00732114" w:rsidRDefault="00AB38F5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2E675DEF" w14:textId="73EE4B75" w:rsidR="00AB38F5" w:rsidRDefault="00CE3B77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 xml:space="preserve">Se asigna al Viceministerio </w:t>
      </w:r>
      <w:r w:rsidR="00B316E3">
        <w:rPr>
          <w:rFonts w:ascii="Verdana" w:eastAsia="Calibri" w:hAnsi="Verdana" w:cs="Arial"/>
          <w:szCs w:val="24"/>
          <w:lang w:val="es-MX" w:eastAsia="en-US"/>
        </w:rPr>
        <w:t xml:space="preserve">un 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>presupuesto</w:t>
      </w:r>
      <w:r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de </w:t>
      </w:r>
      <w:r w:rsidR="00B316E3">
        <w:rPr>
          <w:rFonts w:ascii="Verdana" w:eastAsia="Calibri" w:hAnsi="Verdana" w:cs="Arial"/>
          <w:b/>
          <w:szCs w:val="24"/>
          <w:lang w:val="es-MX" w:eastAsia="en-US"/>
        </w:rPr>
        <w:t>Q90,</w:t>
      </w:r>
      <w:r w:rsidR="003D7416">
        <w:rPr>
          <w:rFonts w:ascii="Verdana" w:eastAsia="Calibri" w:hAnsi="Verdana" w:cs="Arial"/>
          <w:b/>
          <w:szCs w:val="24"/>
          <w:lang w:val="es-MX" w:eastAsia="en-US"/>
        </w:rPr>
        <w:t>4</w:t>
      </w:r>
      <w:r w:rsidR="009310EF">
        <w:rPr>
          <w:rFonts w:ascii="Verdana" w:eastAsia="Calibri" w:hAnsi="Verdana" w:cs="Arial"/>
          <w:b/>
          <w:szCs w:val="24"/>
          <w:lang w:val="es-MX" w:eastAsia="en-US"/>
        </w:rPr>
        <w:t>81,522.00</w:t>
      </w:r>
      <w:r w:rsidR="00AB38F5" w:rsidRPr="00732114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B316E3">
        <w:rPr>
          <w:rFonts w:ascii="Verdana" w:eastAsia="Calibri" w:hAnsi="Verdana" w:cs="Arial"/>
          <w:szCs w:val="24"/>
          <w:lang w:val="es-MX" w:eastAsia="en-US"/>
        </w:rPr>
        <w:t>el cual se modifica</w:t>
      </w:r>
      <w:r>
        <w:rPr>
          <w:rFonts w:ascii="Verdana" w:eastAsia="Calibri" w:hAnsi="Verdana" w:cs="Arial"/>
          <w:szCs w:val="24"/>
          <w:lang w:val="es-MX" w:eastAsia="en-US"/>
        </w:rPr>
        <w:t xml:space="preserve"> y disminuye en </w:t>
      </w:r>
      <w:r w:rsidR="00B316E3" w:rsidRPr="00F3241F">
        <w:rPr>
          <w:rFonts w:ascii="Verdana" w:eastAsia="Calibri" w:hAnsi="Verdana" w:cs="Arial"/>
          <w:b/>
          <w:szCs w:val="24"/>
          <w:lang w:val="es-MX" w:eastAsia="en-US"/>
        </w:rPr>
        <w:t>–</w:t>
      </w:r>
      <w:r w:rsidR="006B3B0D" w:rsidRPr="00F3241F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B316E3" w:rsidRPr="00F3241F">
        <w:rPr>
          <w:rFonts w:ascii="Verdana" w:eastAsia="Calibri" w:hAnsi="Verdana" w:cs="Arial"/>
          <w:b/>
          <w:szCs w:val="24"/>
          <w:lang w:val="es-MX" w:eastAsia="en-US"/>
        </w:rPr>
        <w:t>3</w:t>
      </w:r>
      <w:r w:rsidR="00EB300F">
        <w:rPr>
          <w:rFonts w:ascii="Verdana" w:eastAsia="Calibri" w:hAnsi="Verdana" w:cs="Arial"/>
          <w:b/>
          <w:szCs w:val="24"/>
          <w:lang w:val="es-MX" w:eastAsia="en-US"/>
        </w:rPr>
        <w:t>,</w:t>
      </w:r>
      <w:r w:rsidR="009310EF">
        <w:rPr>
          <w:rFonts w:ascii="Verdana" w:eastAsia="Calibri" w:hAnsi="Verdana" w:cs="Arial"/>
          <w:b/>
          <w:szCs w:val="24"/>
          <w:lang w:val="es-MX" w:eastAsia="en-US"/>
        </w:rPr>
        <w:t>396</w:t>
      </w:r>
      <w:r w:rsidR="00EB300F">
        <w:rPr>
          <w:rFonts w:ascii="Verdana" w:eastAsia="Calibri" w:hAnsi="Verdana" w:cs="Arial"/>
          <w:b/>
          <w:szCs w:val="24"/>
          <w:lang w:val="es-MX" w:eastAsia="en-US"/>
        </w:rPr>
        <w:t>,000.00</w:t>
      </w:r>
      <w:r>
        <w:rPr>
          <w:rFonts w:ascii="Verdana" w:eastAsia="Calibri" w:hAnsi="Verdana" w:cs="Arial"/>
          <w:szCs w:val="24"/>
          <w:lang w:val="es-MX" w:eastAsia="en-US"/>
        </w:rPr>
        <w:t xml:space="preserve"> millones,</w:t>
      </w:r>
      <w:r w:rsidR="006B3B0D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F3241F">
        <w:rPr>
          <w:rFonts w:ascii="Verdana" w:eastAsia="Calibri" w:hAnsi="Verdana" w:cs="Arial"/>
          <w:szCs w:val="24"/>
          <w:lang w:val="es-MX" w:eastAsia="en-US"/>
        </w:rPr>
        <w:t xml:space="preserve">quedando </w:t>
      </w:r>
      <w:r>
        <w:rPr>
          <w:rFonts w:ascii="Verdana" w:eastAsia="Calibri" w:hAnsi="Verdana" w:cs="Arial"/>
          <w:szCs w:val="24"/>
          <w:lang w:val="es-MX" w:eastAsia="en-US"/>
        </w:rPr>
        <w:t>un</w:t>
      </w:r>
      <w:r w:rsidR="00FD7D6E">
        <w:rPr>
          <w:rFonts w:ascii="Verdana" w:eastAsia="Calibri" w:hAnsi="Verdana" w:cs="Arial"/>
          <w:szCs w:val="24"/>
          <w:lang w:val="es-MX" w:eastAsia="en-US"/>
        </w:rPr>
        <w:t xml:space="preserve"> presupuesto</w:t>
      </w:r>
      <w:r w:rsidR="00F3241F">
        <w:rPr>
          <w:rFonts w:ascii="Verdana" w:eastAsia="Calibri" w:hAnsi="Verdana" w:cs="Arial"/>
          <w:szCs w:val="24"/>
          <w:lang w:val="es-MX" w:eastAsia="en-US"/>
        </w:rPr>
        <w:t xml:space="preserve"> vigente</w:t>
      </w:r>
      <w:r w:rsidR="00FD7D6E">
        <w:rPr>
          <w:rFonts w:ascii="Verdana" w:eastAsia="Calibri" w:hAnsi="Verdana" w:cs="Arial"/>
          <w:szCs w:val="24"/>
          <w:lang w:val="es-MX" w:eastAsia="en-US"/>
        </w:rPr>
        <w:t xml:space="preserve"> de </w:t>
      </w:r>
      <w:r w:rsidR="00FD7D6E" w:rsidRPr="00C84850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F3241F">
        <w:rPr>
          <w:rFonts w:ascii="Verdana" w:eastAsia="Calibri" w:hAnsi="Verdana" w:cs="Arial"/>
          <w:b/>
          <w:szCs w:val="24"/>
          <w:lang w:val="es-MX" w:eastAsia="en-US"/>
        </w:rPr>
        <w:t>8</w:t>
      </w:r>
      <w:r w:rsidR="006F11CD">
        <w:rPr>
          <w:rFonts w:ascii="Verdana" w:eastAsia="Calibri" w:hAnsi="Verdana" w:cs="Arial"/>
          <w:b/>
          <w:szCs w:val="24"/>
          <w:lang w:val="es-MX" w:eastAsia="en-US"/>
        </w:rPr>
        <w:t>7</w:t>
      </w:r>
      <w:r w:rsidR="00EB300F">
        <w:rPr>
          <w:rFonts w:ascii="Verdana" w:eastAsia="Calibri" w:hAnsi="Verdana" w:cs="Arial"/>
          <w:b/>
          <w:szCs w:val="24"/>
          <w:lang w:val="es-MX" w:eastAsia="en-US"/>
        </w:rPr>
        <w:t>,</w:t>
      </w:r>
      <w:r w:rsidR="006F11CD">
        <w:rPr>
          <w:rFonts w:ascii="Verdana" w:eastAsia="Calibri" w:hAnsi="Verdana" w:cs="Arial"/>
          <w:b/>
          <w:szCs w:val="24"/>
          <w:lang w:val="es-MX" w:eastAsia="en-US"/>
        </w:rPr>
        <w:t>0</w:t>
      </w:r>
      <w:r w:rsidR="009310EF">
        <w:rPr>
          <w:rFonts w:ascii="Verdana" w:eastAsia="Calibri" w:hAnsi="Verdana" w:cs="Arial"/>
          <w:b/>
          <w:szCs w:val="24"/>
          <w:lang w:val="es-MX" w:eastAsia="en-US"/>
        </w:rPr>
        <w:t>85,522</w:t>
      </w:r>
      <w:r w:rsidR="00EB300F">
        <w:rPr>
          <w:rFonts w:ascii="Verdana" w:eastAsia="Calibri" w:hAnsi="Verdana" w:cs="Arial"/>
          <w:b/>
          <w:szCs w:val="24"/>
          <w:lang w:val="es-MX" w:eastAsia="en-US"/>
        </w:rPr>
        <w:t>.00</w:t>
      </w:r>
      <w:r w:rsidR="00FD7D6E">
        <w:rPr>
          <w:rFonts w:ascii="Verdana" w:eastAsia="Calibri" w:hAnsi="Verdana" w:cs="Arial"/>
          <w:szCs w:val="24"/>
          <w:lang w:val="es-MX" w:eastAsia="en-US"/>
        </w:rPr>
        <w:t xml:space="preserve"> millones, </w:t>
      </w:r>
      <w:r w:rsidR="00F3241F">
        <w:rPr>
          <w:rFonts w:ascii="Verdana" w:eastAsia="Calibri" w:hAnsi="Verdana" w:cs="Arial"/>
          <w:szCs w:val="24"/>
          <w:lang w:val="es-MX" w:eastAsia="en-US"/>
        </w:rPr>
        <w:t>del que se ejecuta un acumulado de</w:t>
      </w:r>
      <w:r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E76CDB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6F11CD">
        <w:rPr>
          <w:rFonts w:ascii="Verdana" w:eastAsia="Calibri" w:hAnsi="Verdana" w:cs="Arial"/>
          <w:b/>
          <w:szCs w:val="24"/>
          <w:lang w:val="es-MX" w:eastAsia="en-US"/>
        </w:rPr>
        <w:t>21,671,760.31</w:t>
      </w:r>
      <w:r w:rsidR="00F3241F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F3241F" w:rsidRPr="00F3241F">
        <w:rPr>
          <w:rFonts w:ascii="Verdana" w:eastAsia="Calibri" w:hAnsi="Verdana" w:cs="Arial"/>
          <w:szCs w:val="24"/>
          <w:lang w:val="es-MX" w:eastAsia="en-US"/>
        </w:rPr>
        <w:t>millones</w:t>
      </w:r>
      <w:r w:rsidR="00F3241F">
        <w:rPr>
          <w:rFonts w:ascii="Verdana" w:eastAsia="Calibri" w:hAnsi="Verdana" w:cs="Arial"/>
          <w:szCs w:val="24"/>
          <w:lang w:val="es-MX" w:eastAsia="en-US"/>
        </w:rPr>
        <w:t xml:space="preserve">, equivalente al </w:t>
      </w:r>
      <w:r w:rsidR="006A48CB">
        <w:rPr>
          <w:rFonts w:ascii="Verdana" w:eastAsia="Calibri" w:hAnsi="Verdana" w:cs="Arial"/>
          <w:b/>
          <w:szCs w:val="24"/>
          <w:lang w:val="es-MX" w:eastAsia="en-US"/>
        </w:rPr>
        <w:t>2</w:t>
      </w:r>
      <w:r w:rsidR="006F11CD">
        <w:rPr>
          <w:rFonts w:ascii="Verdana" w:eastAsia="Calibri" w:hAnsi="Verdana" w:cs="Arial"/>
          <w:b/>
          <w:szCs w:val="24"/>
          <w:lang w:val="es-MX" w:eastAsia="en-US"/>
        </w:rPr>
        <w:t>5</w:t>
      </w:r>
      <w:r w:rsidRPr="00E76CDB">
        <w:rPr>
          <w:rFonts w:ascii="Verdana" w:eastAsia="Calibri" w:hAnsi="Verdana" w:cs="Arial"/>
          <w:b/>
          <w:szCs w:val="24"/>
          <w:lang w:val="es-MX" w:eastAsia="en-US"/>
        </w:rPr>
        <w:t>%</w:t>
      </w:r>
      <w:r>
        <w:rPr>
          <w:rFonts w:ascii="Verdana" w:eastAsia="Calibri" w:hAnsi="Verdana" w:cs="Arial"/>
          <w:szCs w:val="24"/>
          <w:lang w:val="es-MX" w:eastAsia="en-US"/>
        </w:rPr>
        <w:t xml:space="preserve">, orientado a 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gastos </w:t>
      </w:r>
      <w:r>
        <w:rPr>
          <w:rFonts w:ascii="Verdana" w:eastAsia="Calibri" w:hAnsi="Verdana" w:cs="Arial"/>
          <w:szCs w:val="24"/>
          <w:lang w:val="es-MX" w:eastAsia="en-US"/>
        </w:rPr>
        <w:t>funcionamiento.</w:t>
      </w:r>
    </w:p>
    <w:p w14:paraId="6F455EB4" w14:textId="534F1614" w:rsidR="002F6AD0" w:rsidRDefault="002F6AD0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4E8B5A56" w14:textId="471F1AAE" w:rsidR="00AB38F5" w:rsidRPr="00732114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Gráfica No. 1</w:t>
      </w:r>
    </w:p>
    <w:p w14:paraId="0F4F60C7" w14:textId="59CA2B1B" w:rsidR="00C64308" w:rsidRPr="00732114" w:rsidRDefault="00C64308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Viceministerio de Inversión y Competencia</w:t>
      </w:r>
    </w:p>
    <w:p w14:paraId="53157E24" w14:textId="2B69F1B2" w:rsidR="00AB38F5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Ejecución Presupuestaria</w:t>
      </w:r>
      <w:r w:rsidR="002F6AD0">
        <w:rPr>
          <w:rFonts w:ascii="Verdana" w:hAnsi="Verdana" w:cs="Arial"/>
          <w:b/>
          <w:lang w:val="es-MX"/>
        </w:rPr>
        <w:t xml:space="preserve"> PENDIENTE</w:t>
      </w:r>
    </w:p>
    <w:p w14:paraId="7FA75BE0" w14:textId="57474EEB" w:rsidR="00EB300F" w:rsidRDefault="00EB300F" w:rsidP="00AB38F5">
      <w:pPr>
        <w:jc w:val="center"/>
        <w:rPr>
          <w:noProof/>
          <w:lang w:eastAsia="es-GT"/>
        </w:rPr>
      </w:pPr>
    </w:p>
    <w:p w14:paraId="795B7B93" w14:textId="2601DCB8" w:rsidR="00EB300F" w:rsidRDefault="006F11CD" w:rsidP="006F11CD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lang w:eastAsia="es-GT"/>
        </w:rPr>
        <w:drawing>
          <wp:inline distT="0" distB="0" distL="0" distR="0" wp14:anchorId="7F35CE7B" wp14:editId="28E7A067">
            <wp:extent cx="4591050" cy="238858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109" cy="2402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10D6A5" w14:textId="77777777" w:rsidR="006F11CD" w:rsidRDefault="006F11CD" w:rsidP="00687CE4">
      <w:pPr>
        <w:rPr>
          <w:rFonts w:ascii="Verdana" w:hAnsi="Verdana" w:cs="Arial"/>
          <w:b/>
          <w:sz w:val="14"/>
          <w:lang w:val="es-MX"/>
        </w:rPr>
      </w:pPr>
    </w:p>
    <w:p w14:paraId="0FE4936D" w14:textId="307D4D72" w:rsidR="00AB38F5" w:rsidRPr="00AC73B4" w:rsidRDefault="00275CAA" w:rsidP="00687CE4">
      <w:pPr>
        <w:rPr>
          <w:rFonts w:ascii="Verdana" w:hAnsi="Verdana" w:cs="Arial"/>
          <w:color w:val="000000" w:themeColor="text1"/>
          <w:sz w:val="16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 w:rsidR="00687CE4">
        <w:rPr>
          <w:rFonts w:ascii="Verdana" w:hAnsi="Verdana" w:cs="Arial"/>
          <w:sz w:val="14"/>
          <w:lang w:val="es-MX"/>
        </w:rPr>
        <w:t>0</w:t>
      </w:r>
      <w:r w:rsidR="009310EF">
        <w:rPr>
          <w:rFonts w:ascii="Verdana" w:hAnsi="Verdana" w:cs="Arial"/>
          <w:sz w:val="14"/>
          <w:lang w:val="es-MX"/>
        </w:rPr>
        <w:t>3</w:t>
      </w:r>
      <w:r w:rsidR="00D51DA9">
        <w:rPr>
          <w:rFonts w:ascii="Verdana" w:hAnsi="Verdana" w:cs="Arial"/>
          <w:sz w:val="14"/>
          <w:lang w:val="es-MX"/>
        </w:rPr>
        <w:t>/</w:t>
      </w:r>
      <w:r w:rsidR="00687CE4">
        <w:rPr>
          <w:rFonts w:ascii="Verdana" w:hAnsi="Verdana" w:cs="Arial"/>
          <w:sz w:val="14"/>
          <w:lang w:val="es-MX"/>
        </w:rPr>
        <w:t>0</w:t>
      </w:r>
      <w:r w:rsidR="006F11CD">
        <w:rPr>
          <w:rFonts w:ascii="Verdana" w:hAnsi="Verdana" w:cs="Arial"/>
          <w:sz w:val="14"/>
          <w:lang w:val="es-MX"/>
        </w:rPr>
        <w:t>6</w:t>
      </w:r>
      <w:r w:rsidR="00D51DA9">
        <w:rPr>
          <w:rFonts w:ascii="Verdana" w:hAnsi="Verdana" w:cs="Arial"/>
          <w:sz w:val="14"/>
          <w:lang w:val="es-MX"/>
        </w:rPr>
        <w:t xml:space="preserve">/2025 </w:t>
      </w:r>
    </w:p>
    <w:p w14:paraId="7C21DB68" w14:textId="42DB6416" w:rsidR="00EB300F" w:rsidRDefault="00EB300F" w:rsidP="00EB300F">
      <w:pPr>
        <w:rPr>
          <w:rFonts w:ascii="Verdana" w:hAnsi="Verdana" w:cs="Arial"/>
          <w:b/>
          <w:lang w:val="es-MX"/>
        </w:rPr>
      </w:pPr>
    </w:p>
    <w:p w14:paraId="2C0A3969" w14:textId="120E317B" w:rsidR="00AB38F5" w:rsidRPr="00732114" w:rsidRDefault="00AB38F5" w:rsidP="005B1EF4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Gráfica No. 2</w:t>
      </w:r>
    </w:p>
    <w:p w14:paraId="454A9EC5" w14:textId="6FFB7D4B" w:rsidR="00C64308" w:rsidRPr="00732114" w:rsidRDefault="00C64308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Viceministerio de Inversión y Competencia</w:t>
      </w:r>
    </w:p>
    <w:p w14:paraId="1F494BCF" w14:textId="3178E180" w:rsidR="00AB38F5" w:rsidRDefault="00765F95" w:rsidP="00AB38F5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presupuesto</w:t>
      </w:r>
      <w:r w:rsidR="002802F9">
        <w:rPr>
          <w:rFonts w:ascii="Verdana" w:hAnsi="Verdana" w:cs="Arial"/>
          <w:b/>
          <w:lang w:val="es-MX"/>
        </w:rPr>
        <w:t xml:space="preserve"> por grupo de gasto</w:t>
      </w:r>
    </w:p>
    <w:p w14:paraId="64C58396" w14:textId="5A49FD03" w:rsidR="00FF65A6" w:rsidRDefault="00FF65A6" w:rsidP="00FF65A6">
      <w:pPr>
        <w:rPr>
          <w:rFonts w:ascii="Verdana" w:hAnsi="Verdana" w:cs="Arial"/>
          <w:b/>
          <w:noProof/>
          <w:sz w:val="14"/>
          <w:lang w:eastAsia="es-GT"/>
        </w:rPr>
      </w:pPr>
    </w:p>
    <w:p w14:paraId="210245FF" w14:textId="00E36E53" w:rsidR="00EB300F" w:rsidRDefault="00EB300F" w:rsidP="00FF65A6">
      <w:pPr>
        <w:rPr>
          <w:rFonts w:ascii="Verdana" w:hAnsi="Verdana" w:cs="Arial"/>
          <w:b/>
          <w:sz w:val="14"/>
          <w:lang w:val="es-MX"/>
        </w:rPr>
      </w:pPr>
    </w:p>
    <w:p w14:paraId="160E24C1" w14:textId="1100A0AF" w:rsidR="009310EF" w:rsidRDefault="00687CE4" w:rsidP="00687CE4">
      <w:pPr>
        <w:rPr>
          <w:rFonts w:ascii="Verdana" w:hAnsi="Verdana" w:cs="Arial"/>
          <w:b/>
          <w:sz w:val="14"/>
          <w:lang w:val="es-MX"/>
        </w:rPr>
      </w:pPr>
      <w:r>
        <w:rPr>
          <w:rFonts w:ascii="Verdana" w:hAnsi="Verdana" w:cs="Arial"/>
          <w:b/>
          <w:sz w:val="14"/>
          <w:lang w:val="es-MX"/>
        </w:rPr>
        <w:t xml:space="preserve">                             </w:t>
      </w:r>
      <w:r w:rsidR="006F11CD">
        <w:rPr>
          <w:rFonts w:ascii="Verdana" w:hAnsi="Verdana" w:cs="Arial"/>
          <w:b/>
          <w:noProof/>
          <w:sz w:val="14"/>
          <w:lang w:eastAsia="es-GT"/>
        </w:rPr>
        <w:drawing>
          <wp:inline distT="0" distB="0" distL="0" distR="0" wp14:anchorId="3D73B256" wp14:editId="15720956">
            <wp:extent cx="6335876" cy="3270836"/>
            <wp:effectExtent l="0" t="0" r="8255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862" cy="328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28FFE6" w14:textId="77777777" w:rsidR="005B1EF4" w:rsidRDefault="005B1EF4" w:rsidP="00687CE4">
      <w:pPr>
        <w:rPr>
          <w:rFonts w:ascii="Verdana" w:hAnsi="Verdana" w:cs="Arial"/>
          <w:b/>
          <w:sz w:val="14"/>
          <w:lang w:val="es-MX"/>
        </w:rPr>
      </w:pPr>
    </w:p>
    <w:p w14:paraId="233DEFC0" w14:textId="493B0218" w:rsidR="00687CE4" w:rsidRPr="009310EF" w:rsidRDefault="00687CE4" w:rsidP="00687CE4">
      <w:pPr>
        <w:rPr>
          <w:rFonts w:ascii="Verdana" w:hAnsi="Verdana" w:cs="Arial"/>
          <w:b/>
          <w:sz w:val="14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>
        <w:rPr>
          <w:rFonts w:ascii="Verdana" w:hAnsi="Verdana" w:cs="Arial"/>
          <w:sz w:val="14"/>
          <w:lang w:val="es-MX"/>
        </w:rPr>
        <w:t>0</w:t>
      </w:r>
      <w:r w:rsidR="009310EF">
        <w:rPr>
          <w:rFonts w:ascii="Verdana" w:hAnsi="Verdana" w:cs="Arial"/>
          <w:sz w:val="14"/>
          <w:lang w:val="es-MX"/>
        </w:rPr>
        <w:t>3</w:t>
      </w:r>
      <w:r>
        <w:rPr>
          <w:rFonts w:ascii="Verdana" w:hAnsi="Verdana" w:cs="Arial"/>
          <w:sz w:val="14"/>
          <w:lang w:val="es-MX"/>
        </w:rPr>
        <w:t>/0</w:t>
      </w:r>
      <w:r w:rsidR="006F11CD">
        <w:rPr>
          <w:rFonts w:ascii="Verdana" w:hAnsi="Verdana" w:cs="Arial"/>
          <w:sz w:val="14"/>
          <w:lang w:val="es-MX"/>
        </w:rPr>
        <w:t>6</w:t>
      </w:r>
      <w:r>
        <w:rPr>
          <w:rFonts w:ascii="Verdana" w:hAnsi="Verdana" w:cs="Arial"/>
          <w:sz w:val="14"/>
          <w:lang w:val="es-MX"/>
        </w:rPr>
        <w:t xml:space="preserve">/2025 </w:t>
      </w:r>
    </w:p>
    <w:p w14:paraId="45A9B421" w14:textId="0DFA0E02" w:rsidR="005F5695" w:rsidRPr="00732114" w:rsidRDefault="005F5695" w:rsidP="005F5695">
      <w:pPr>
        <w:rPr>
          <w:rFonts w:ascii="Verdana" w:hAnsi="Verdana" w:cs="Arial"/>
          <w:color w:val="000000" w:themeColor="text1"/>
        </w:rPr>
      </w:pPr>
    </w:p>
    <w:p w14:paraId="1131FED5" w14:textId="2FEE7740" w:rsidR="009310EF" w:rsidRDefault="009310EF" w:rsidP="00AB38F5">
      <w:pPr>
        <w:jc w:val="both"/>
        <w:rPr>
          <w:rFonts w:ascii="Verdana" w:hAnsi="Verdana" w:cs="Arial"/>
          <w:lang w:val="es-MX"/>
        </w:rPr>
      </w:pPr>
    </w:p>
    <w:p w14:paraId="76C4654D" w14:textId="471B815C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2DD9E627" w14:textId="1808B431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2DEB5823" w14:textId="1F0A446E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125EB34B" w14:textId="4DD2E550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6369AC79" w14:textId="5F712249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77519FDF" w14:textId="278C4BD4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6D5BD30B" w14:textId="77777777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2F2723A8" w14:textId="77777777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1FF6196B" w14:textId="77777777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27E1D7DA" w14:textId="77777777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3D0DEF92" w14:textId="77777777" w:rsidR="00EB300F" w:rsidRDefault="00EB300F" w:rsidP="00AB38F5">
      <w:pPr>
        <w:jc w:val="both"/>
        <w:rPr>
          <w:rFonts w:ascii="Verdana" w:hAnsi="Verdana" w:cs="Arial"/>
          <w:lang w:val="es-MX"/>
        </w:rPr>
      </w:pPr>
    </w:p>
    <w:p w14:paraId="261CC152" w14:textId="77777777" w:rsidR="00EB300F" w:rsidRDefault="00EB300F" w:rsidP="00AB38F5">
      <w:pPr>
        <w:jc w:val="both"/>
        <w:rPr>
          <w:rFonts w:ascii="Verdana" w:hAnsi="Verdana" w:cs="Arial"/>
          <w:lang w:val="es-MX"/>
        </w:rPr>
      </w:pPr>
    </w:p>
    <w:p w14:paraId="5297E888" w14:textId="77777777" w:rsidR="00EB300F" w:rsidRDefault="00EB300F" w:rsidP="00AB38F5">
      <w:pPr>
        <w:jc w:val="both"/>
        <w:rPr>
          <w:rFonts w:ascii="Verdana" w:hAnsi="Verdana" w:cs="Arial"/>
          <w:lang w:val="es-MX"/>
        </w:rPr>
      </w:pPr>
    </w:p>
    <w:p w14:paraId="7FC213AA" w14:textId="77777777" w:rsidR="00EB300F" w:rsidRDefault="00EB300F" w:rsidP="00AB38F5">
      <w:pPr>
        <w:jc w:val="both"/>
        <w:rPr>
          <w:rFonts w:ascii="Verdana" w:hAnsi="Verdana" w:cs="Arial"/>
          <w:lang w:val="es-MX"/>
        </w:rPr>
      </w:pPr>
    </w:p>
    <w:p w14:paraId="6FBDCF63" w14:textId="77777777" w:rsidR="00EB300F" w:rsidRDefault="00EB300F" w:rsidP="00AB38F5">
      <w:pPr>
        <w:jc w:val="both"/>
        <w:rPr>
          <w:rFonts w:ascii="Verdana" w:hAnsi="Verdana" w:cs="Arial"/>
          <w:lang w:val="es-MX"/>
        </w:rPr>
      </w:pPr>
    </w:p>
    <w:p w14:paraId="01AC654B" w14:textId="77777777" w:rsidR="00EB300F" w:rsidRDefault="00EB300F">
      <w:pPr>
        <w:rPr>
          <w:rFonts w:ascii="Verdana" w:hAnsi="Verdana" w:cs="Arial"/>
          <w:lang w:val="es-MX"/>
        </w:rPr>
      </w:pPr>
    </w:p>
    <w:p w14:paraId="795339E1" w14:textId="2250AD4B" w:rsidR="00AB38F5" w:rsidRPr="00732114" w:rsidRDefault="001046A7" w:rsidP="00AB38F5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lastRenderedPageBreak/>
        <w:t>El cuadro uno</w:t>
      </w:r>
      <w:r w:rsidR="005F5695"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 xml:space="preserve">presenta </w:t>
      </w:r>
      <w:r w:rsidR="005F5695" w:rsidRPr="00732114">
        <w:rPr>
          <w:rFonts w:ascii="Verdana" w:hAnsi="Verdana" w:cs="Arial"/>
          <w:lang w:val="es-MX"/>
        </w:rPr>
        <w:t>la ejecución presupuestaria</w:t>
      </w:r>
      <w:r w:rsidR="00A06E45">
        <w:rPr>
          <w:rFonts w:ascii="Verdana" w:hAnsi="Verdana" w:cs="Arial"/>
          <w:lang w:val="es-MX"/>
        </w:rPr>
        <w:t xml:space="preserve"> acumulada</w:t>
      </w:r>
      <w:r w:rsidR="005F5695" w:rsidRPr="00732114">
        <w:rPr>
          <w:rFonts w:ascii="Verdana" w:hAnsi="Verdana" w:cs="Arial"/>
          <w:lang w:val="es-MX"/>
        </w:rPr>
        <w:t xml:space="preserve"> de </w:t>
      </w:r>
      <w:r w:rsidR="00AB38F5" w:rsidRPr="00732114">
        <w:rPr>
          <w:rFonts w:ascii="Verdana" w:hAnsi="Verdana" w:cs="Arial"/>
          <w:lang w:val="es-MX"/>
        </w:rPr>
        <w:t>los gastos</w:t>
      </w:r>
      <w:r>
        <w:rPr>
          <w:rFonts w:ascii="Verdana" w:hAnsi="Verdana" w:cs="Arial"/>
          <w:lang w:val="es-MX"/>
        </w:rPr>
        <w:t xml:space="preserve"> erogados</w:t>
      </w:r>
      <w:r w:rsidR="00AB38F5"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por</w:t>
      </w:r>
      <w:r w:rsidR="00AB38F5" w:rsidRPr="00732114">
        <w:rPr>
          <w:rFonts w:ascii="Verdana" w:hAnsi="Verdana" w:cs="Arial"/>
          <w:lang w:val="es-MX"/>
        </w:rPr>
        <w:t xml:space="preserve"> dependencias </w:t>
      </w:r>
      <w:r w:rsidR="00765F95">
        <w:rPr>
          <w:rFonts w:ascii="Verdana" w:hAnsi="Verdana" w:cs="Arial"/>
          <w:lang w:val="es-MX"/>
        </w:rPr>
        <w:t xml:space="preserve">y </w:t>
      </w:r>
      <w:r w:rsidR="002A55C2">
        <w:rPr>
          <w:rFonts w:ascii="Verdana" w:hAnsi="Verdana" w:cs="Arial"/>
          <w:lang w:val="es-MX"/>
        </w:rPr>
        <w:t>grupo</w:t>
      </w:r>
      <w:r w:rsidR="00765F95">
        <w:rPr>
          <w:rFonts w:ascii="Verdana" w:hAnsi="Verdana" w:cs="Arial"/>
          <w:lang w:val="es-MX"/>
        </w:rPr>
        <w:t xml:space="preserve"> de gasto, los cuales</w:t>
      </w:r>
      <w:r w:rsidR="00AB38F5"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 xml:space="preserve">contemplan </w:t>
      </w:r>
      <w:r w:rsidR="00765F95">
        <w:rPr>
          <w:rFonts w:ascii="Verdana" w:hAnsi="Verdana" w:cs="Arial"/>
          <w:lang w:val="es-MX"/>
        </w:rPr>
        <w:t>pago de nómina, servicios y compras de bienes y suministros.</w:t>
      </w:r>
    </w:p>
    <w:p w14:paraId="7A6381A2" w14:textId="61B0273F" w:rsidR="00EE2B1A" w:rsidRDefault="00EE2B1A" w:rsidP="00AB38F5">
      <w:pPr>
        <w:jc w:val="both"/>
        <w:rPr>
          <w:rFonts w:ascii="Verdana" w:hAnsi="Verdana" w:cs="Arial"/>
          <w:lang w:val="es-MX"/>
        </w:rPr>
      </w:pPr>
    </w:p>
    <w:p w14:paraId="08E076FC" w14:textId="77777777" w:rsidR="00AB38F5" w:rsidRPr="00732114" w:rsidRDefault="00AB38F5" w:rsidP="00AB38F5">
      <w:pPr>
        <w:ind w:left="2832" w:firstLine="708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Cuadro No. 1</w:t>
      </w:r>
    </w:p>
    <w:p w14:paraId="264159F8" w14:textId="772F8697" w:rsidR="00AB38F5" w:rsidRPr="00732114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Viceministerio de Inversión y Competencia</w:t>
      </w:r>
    </w:p>
    <w:p w14:paraId="34255051" w14:textId="5ADAE7F4" w:rsidR="00AB38F5" w:rsidRDefault="00765F95" w:rsidP="00AB38F5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</w:t>
      </w:r>
      <w:r w:rsidR="00AB38F5" w:rsidRPr="00732114">
        <w:rPr>
          <w:rFonts w:ascii="Verdana" w:hAnsi="Verdana" w:cs="Arial"/>
          <w:b/>
          <w:lang w:val="es-MX"/>
        </w:rPr>
        <w:t>resupuesto</w:t>
      </w:r>
      <w:r>
        <w:rPr>
          <w:rFonts w:ascii="Verdana" w:hAnsi="Verdana" w:cs="Arial"/>
          <w:b/>
          <w:lang w:val="es-MX"/>
        </w:rPr>
        <w:t xml:space="preserve"> por d</w:t>
      </w:r>
      <w:r w:rsidR="005C61BD" w:rsidRPr="00732114">
        <w:rPr>
          <w:rFonts w:ascii="Verdana" w:hAnsi="Verdana" w:cs="Arial"/>
          <w:b/>
          <w:lang w:val="es-MX"/>
        </w:rPr>
        <w:t>ependencias y</w:t>
      </w:r>
      <w:r w:rsidR="00AB38F5" w:rsidRPr="00732114">
        <w:rPr>
          <w:rFonts w:ascii="Verdana" w:hAnsi="Verdana" w:cs="Arial"/>
          <w:b/>
          <w:lang w:val="es-MX"/>
        </w:rPr>
        <w:t xml:space="preserve"> grupo de gasto</w:t>
      </w:r>
    </w:p>
    <w:p w14:paraId="3E406E29" w14:textId="1B01581B" w:rsidR="003D7416" w:rsidRDefault="003D7416" w:rsidP="00687CE4">
      <w:pPr>
        <w:rPr>
          <w:rFonts w:ascii="Verdana" w:hAnsi="Verdana" w:cs="Arial"/>
          <w:b/>
          <w:sz w:val="14"/>
          <w:lang w:val="es-MX"/>
        </w:rPr>
      </w:pPr>
      <w:r w:rsidRPr="006F11CD"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6892C02F" wp14:editId="3E604693">
            <wp:simplePos x="0" y="0"/>
            <wp:positionH relativeFrom="column">
              <wp:posOffset>-377825</wp:posOffset>
            </wp:positionH>
            <wp:positionV relativeFrom="paragraph">
              <wp:posOffset>172720</wp:posOffset>
            </wp:positionV>
            <wp:extent cx="6555105" cy="6206490"/>
            <wp:effectExtent l="19050" t="19050" r="17145" b="22860"/>
            <wp:wrapThrough wrapText="bothSides">
              <wp:wrapPolygon edited="0">
                <wp:start x="-63" y="-66"/>
                <wp:lineTo x="-63" y="21613"/>
                <wp:lineTo x="21594" y="21613"/>
                <wp:lineTo x="21594" y="-66"/>
                <wp:lineTo x="-63" y="-66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105" cy="620649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A236541" w14:textId="60126F30" w:rsidR="00687CE4" w:rsidRDefault="00687CE4" w:rsidP="00687CE4">
      <w:pPr>
        <w:rPr>
          <w:rFonts w:ascii="Verdana" w:hAnsi="Verdana" w:cs="Arial"/>
          <w:sz w:val="14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 w:rsidR="00503B74">
        <w:rPr>
          <w:rFonts w:ascii="Verdana" w:hAnsi="Verdana" w:cs="Arial"/>
          <w:sz w:val="14"/>
          <w:lang w:val="es-MX"/>
        </w:rPr>
        <w:t>03/0</w:t>
      </w:r>
      <w:r w:rsidR="006F11CD">
        <w:rPr>
          <w:rFonts w:ascii="Verdana" w:hAnsi="Verdana" w:cs="Arial"/>
          <w:sz w:val="14"/>
          <w:lang w:val="es-MX"/>
        </w:rPr>
        <w:t>6/2025</w:t>
      </w:r>
    </w:p>
    <w:p w14:paraId="728C2E5B" w14:textId="77777777" w:rsidR="006F11CD" w:rsidRPr="00AC73B4" w:rsidRDefault="006F11CD" w:rsidP="00687CE4">
      <w:pPr>
        <w:rPr>
          <w:rFonts w:ascii="Verdana" w:hAnsi="Verdana" w:cs="Arial"/>
          <w:color w:val="000000" w:themeColor="text1"/>
          <w:sz w:val="16"/>
        </w:rPr>
      </w:pPr>
    </w:p>
    <w:p w14:paraId="71F3AE92" w14:textId="7782E59C" w:rsidR="00AB38F5" w:rsidRPr="00732114" w:rsidRDefault="008B726B" w:rsidP="00AB38F5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t>El cuadro dos</w:t>
      </w:r>
      <w:r w:rsidR="00AB38F5" w:rsidRPr="00732114">
        <w:rPr>
          <w:rFonts w:ascii="Verdana" w:hAnsi="Verdana" w:cs="Arial"/>
          <w:lang w:val="es-MX"/>
        </w:rPr>
        <w:t xml:space="preserve"> deta</w:t>
      </w:r>
      <w:r>
        <w:rPr>
          <w:rFonts w:ascii="Verdana" w:hAnsi="Verdana" w:cs="Arial"/>
          <w:lang w:val="es-MX"/>
        </w:rPr>
        <w:t>lla el comportamiento de</w:t>
      </w:r>
      <w:r w:rsidR="00AB38F5" w:rsidRPr="00732114">
        <w:rPr>
          <w:rFonts w:ascii="Verdana" w:hAnsi="Verdana" w:cs="Arial"/>
          <w:lang w:val="es-MX"/>
        </w:rPr>
        <w:t xml:space="preserve"> las cuotas</w:t>
      </w:r>
      <w:r w:rsidR="00E01E7B" w:rsidRPr="00732114">
        <w:rPr>
          <w:rFonts w:ascii="Verdana" w:hAnsi="Verdana" w:cs="Arial"/>
          <w:lang w:val="es-MX"/>
        </w:rPr>
        <w:t xml:space="preserve"> financieras</w:t>
      </w:r>
      <w:r w:rsidR="00A06E45">
        <w:rPr>
          <w:rFonts w:ascii="Verdana" w:hAnsi="Verdana" w:cs="Arial"/>
          <w:lang w:val="es-MX"/>
        </w:rPr>
        <w:t xml:space="preserve"> acumuladas</w:t>
      </w:r>
      <w:r>
        <w:rPr>
          <w:rFonts w:ascii="Verdana" w:hAnsi="Verdana" w:cs="Arial"/>
          <w:lang w:val="es-MX"/>
        </w:rPr>
        <w:t xml:space="preserve"> solicitadas y utilizadas</w:t>
      </w:r>
      <w:r w:rsidR="00AB38F5" w:rsidRPr="00732114">
        <w:rPr>
          <w:rFonts w:ascii="Verdana" w:hAnsi="Verdana" w:cs="Arial"/>
          <w:lang w:val="es-MX"/>
        </w:rPr>
        <w:t xml:space="preserve"> por las</w:t>
      </w:r>
      <w:r w:rsidR="007C4B5E">
        <w:rPr>
          <w:rFonts w:ascii="Verdana" w:hAnsi="Verdana" w:cs="Arial"/>
          <w:lang w:val="es-MX"/>
        </w:rPr>
        <w:t xml:space="preserve"> unidades ejecutoras adscritas al Viceministerio</w:t>
      </w:r>
      <w:r w:rsidR="001C28E1">
        <w:rPr>
          <w:rFonts w:ascii="Verdana" w:hAnsi="Verdana" w:cs="Arial"/>
          <w:lang w:val="es-MX"/>
        </w:rPr>
        <w:t>,</w:t>
      </w:r>
      <w:r w:rsidR="007C4B5E">
        <w:rPr>
          <w:rFonts w:ascii="Verdana" w:hAnsi="Verdana" w:cs="Arial"/>
          <w:lang w:val="es-MX"/>
        </w:rPr>
        <w:t xml:space="preserve"> según</w:t>
      </w:r>
      <w:r w:rsidR="00CC7AC2">
        <w:rPr>
          <w:rFonts w:ascii="Verdana" w:hAnsi="Verdana" w:cs="Arial"/>
          <w:lang w:val="es-MX"/>
        </w:rPr>
        <w:t xml:space="preserve"> </w:t>
      </w:r>
      <w:r w:rsidR="005B1EF4">
        <w:rPr>
          <w:rFonts w:ascii="Verdana" w:hAnsi="Verdana" w:cs="Arial"/>
          <w:lang w:val="es-MX"/>
        </w:rPr>
        <w:t>los distintos grupos de gasto</w:t>
      </w:r>
    </w:p>
    <w:p w14:paraId="3A442756" w14:textId="2A48AAF2" w:rsidR="00C92036" w:rsidRDefault="00C92036" w:rsidP="00AB38F5">
      <w:pPr>
        <w:rPr>
          <w:rFonts w:ascii="Verdana" w:hAnsi="Verdana"/>
        </w:rPr>
      </w:pPr>
    </w:p>
    <w:p w14:paraId="20D1D9EA" w14:textId="77777777" w:rsidR="00C92036" w:rsidRPr="00164E9C" w:rsidRDefault="00C92036" w:rsidP="00C92036">
      <w:pPr>
        <w:jc w:val="center"/>
        <w:rPr>
          <w:rFonts w:ascii="Verdana" w:hAnsi="Verdana" w:cs="Arial"/>
          <w:b/>
          <w:lang w:val="es-MX"/>
        </w:rPr>
      </w:pPr>
      <w:r w:rsidRPr="00164E9C">
        <w:rPr>
          <w:rFonts w:ascii="Verdana" w:hAnsi="Verdana" w:cs="Arial"/>
          <w:b/>
          <w:lang w:val="es-MX"/>
        </w:rPr>
        <w:t>Cuadro No. 2</w:t>
      </w:r>
    </w:p>
    <w:p w14:paraId="2DA1BA27" w14:textId="77777777" w:rsidR="00C92036" w:rsidRPr="00164E9C" w:rsidRDefault="00C92036" w:rsidP="00C92036">
      <w:pPr>
        <w:jc w:val="center"/>
        <w:rPr>
          <w:rFonts w:ascii="Verdana" w:hAnsi="Verdana" w:cs="Arial"/>
          <w:b/>
          <w:lang w:val="es-MX"/>
        </w:rPr>
      </w:pPr>
      <w:r w:rsidRPr="00164E9C">
        <w:rPr>
          <w:rFonts w:ascii="Verdana" w:hAnsi="Verdana" w:cs="Arial"/>
          <w:b/>
          <w:lang w:val="es-MX"/>
        </w:rPr>
        <w:t>Viceministerio de Inversión y Competencia</w:t>
      </w:r>
    </w:p>
    <w:p w14:paraId="306F4355" w14:textId="3E260016" w:rsidR="00C92036" w:rsidRPr="006F11CD" w:rsidRDefault="00C92036" w:rsidP="00C92036">
      <w:pPr>
        <w:jc w:val="center"/>
        <w:rPr>
          <w:rFonts w:ascii="Verdana" w:hAnsi="Verdana" w:cs="Arial"/>
          <w:b/>
          <w:color w:val="FF0000"/>
          <w:lang w:val="es-MX"/>
        </w:rPr>
      </w:pPr>
      <w:r w:rsidRPr="00164E9C">
        <w:rPr>
          <w:rFonts w:ascii="Verdana" w:hAnsi="Verdana" w:cs="Arial"/>
          <w:b/>
          <w:lang w:val="es-MX"/>
        </w:rPr>
        <w:t>Informe de Ejecución de Cuota Financiera</w:t>
      </w:r>
      <w:r w:rsidR="006F11CD">
        <w:rPr>
          <w:rFonts w:ascii="Verdana" w:hAnsi="Verdana" w:cs="Arial"/>
          <w:b/>
          <w:lang w:val="es-MX"/>
        </w:rPr>
        <w:t xml:space="preserve"> </w:t>
      </w:r>
      <w:r w:rsidR="00164E9C">
        <w:rPr>
          <w:rFonts w:ascii="Verdana" w:hAnsi="Verdana" w:cs="Arial"/>
          <w:b/>
          <w:color w:val="FF0000"/>
          <w:lang w:val="es-MX"/>
        </w:rPr>
        <w:t xml:space="preserve"> </w:t>
      </w:r>
    </w:p>
    <w:p w14:paraId="6A887A09" w14:textId="589189B8" w:rsidR="00C92036" w:rsidRDefault="00C92036" w:rsidP="00AB38F5">
      <w:pPr>
        <w:rPr>
          <w:rFonts w:ascii="Verdana" w:hAnsi="Verdana"/>
        </w:rPr>
      </w:pPr>
    </w:p>
    <w:p w14:paraId="7E12AF22" w14:textId="78326EDC" w:rsidR="00C92036" w:rsidRDefault="00164E9C" w:rsidP="00AB38F5">
      <w:pPr>
        <w:rPr>
          <w:rFonts w:ascii="Verdana" w:hAnsi="Verdana"/>
        </w:rPr>
      </w:pPr>
      <w:r w:rsidRPr="00164E9C">
        <w:rPr>
          <w:noProof/>
        </w:rPr>
        <w:drawing>
          <wp:inline distT="0" distB="0" distL="0" distR="0" wp14:anchorId="3EE9236A" wp14:editId="59A1F1B1">
            <wp:extent cx="5612130" cy="5025574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02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6B4B2" w14:textId="77777777" w:rsidR="00C92036" w:rsidRDefault="00C92036" w:rsidP="00C92036">
      <w:pPr>
        <w:rPr>
          <w:rFonts w:ascii="Verdana" w:hAnsi="Verdana" w:cs="Arial"/>
          <w:b/>
          <w:sz w:val="14"/>
          <w:lang w:val="es-MX"/>
        </w:rPr>
      </w:pPr>
    </w:p>
    <w:p w14:paraId="127285C7" w14:textId="104E5D42" w:rsidR="009310EF" w:rsidRPr="00AC73B4" w:rsidRDefault="00C92036" w:rsidP="009310EF">
      <w:pPr>
        <w:rPr>
          <w:rFonts w:ascii="Verdana" w:hAnsi="Verdana" w:cs="Arial"/>
          <w:color w:val="000000" w:themeColor="text1"/>
          <w:sz w:val="16"/>
        </w:rPr>
      </w:pPr>
      <w:r>
        <w:rPr>
          <w:rFonts w:ascii="Verdana" w:hAnsi="Verdana" w:cs="Arial"/>
          <w:b/>
          <w:sz w:val="14"/>
          <w:lang w:val="es-MX"/>
        </w:rPr>
        <w:t xml:space="preserve"> </w:t>
      </w:r>
      <w:r w:rsidR="009310EF" w:rsidRPr="006014DF">
        <w:rPr>
          <w:rFonts w:ascii="Verdana" w:hAnsi="Verdana" w:cs="Arial"/>
          <w:b/>
          <w:sz w:val="14"/>
          <w:lang w:val="es-MX"/>
        </w:rPr>
        <w:t>Fuente:</w:t>
      </w:r>
      <w:r w:rsidR="009310EF"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="009310EF"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="009310EF" w:rsidRPr="006014DF">
        <w:rPr>
          <w:rFonts w:ascii="Verdana" w:hAnsi="Verdana" w:cs="Arial"/>
          <w:sz w:val="14"/>
          <w:lang w:val="es-MX"/>
        </w:rPr>
        <w:t xml:space="preserve">) </w:t>
      </w:r>
      <w:r w:rsidR="006A48CB">
        <w:rPr>
          <w:rFonts w:ascii="Verdana" w:hAnsi="Verdana" w:cs="Arial"/>
          <w:sz w:val="14"/>
          <w:lang w:val="es-MX"/>
        </w:rPr>
        <w:t>0</w:t>
      </w:r>
      <w:r w:rsidR="005B1EF4">
        <w:rPr>
          <w:rFonts w:ascii="Verdana" w:hAnsi="Verdana" w:cs="Arial"/>
          <w:sz w:val="14"/>
          <w:lang w:val="es-MX"/>
        </w:rPr>
        <w:t>5</w:t>
      </w:r>
      <w:r w:rsidR="009310EF">
        <w:rPr>
          <w:rFonts w:ascii="Verdana" w:hAnsi="Verdana" w:cs="Arial"/>
          <w:sz w:val="14"/>
          <w:lang w:val="es-MX"/>
        </w:rPr>
        <w:t>/0</w:t>
      </w:r>
      <w:r w:rsidR="00164E9C">
        <w:rPr>
          <w:rFonts w:ascii="Verdana" w:hAnsi="Verdana" w:cs="Arial"/>
          <w:sz w:val="14"/>
          <w:lang w:val="es-MX"/>
        </w:rPr>
        <w:t>6</w:t>
      </w:r>
      <w:r w:rsidR="009310EF">
        <w:rPr>
          <w:rFonts w:ascii="Verdana" w:hAnsi="Verdana" w:cs="Arial"/>
          <w:sz w:val="14"/>
          <w:lang w:val="es-MX"/>
        </w:rPr>
        <w:t xml:space="preserve">/2025 </w:t>
      </w:r>
    </w:p>
    <w:p w14:paraId="1EF591CA" w14:textId="37C3AB0E" w:rsidR="00C92036" w:rsidRDefault="00C92036" w:rsidP="00AB38F5">
      <w:pPr>
        <w:rPr>
          <w:rFonts w:ascii="Verdana" w:hAnsi="Verdana"/>
        </w:rPr>
      </w:pPr>
    </w:p>
    <w:p w14:paraId="6886184B" w14:textId="7B5ED7C6" w:rsidR="006A48CB" w:rsidRDefault="006A48CB" w:rsidP="00AB38F5">
      <w:pPr>
        <w:rPr>
          <w:rFonts w:ascii="Verdana" w:hAnsi="Verdana"/>
        </w:rPr>
      </w:pPr>
    </w:p>
    <w:p w14:paraId="0444DB37" w14:textId="77777777" w:rsidR="006A48CB" w:rsidRDefault="006A48CB">
      <w:pPr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br w:type="page"/>
      </w:r>
    </w:p>
    <w:p w14:paraId="197A5E9E" w14:textId="0A33E780" w:rsidR="006A48CB" w:rsidRPr="00E1071A" w:rsidRDefault="006A48CB" w:rsidP="006A48CB">
      <w:pPr>
        <w:jc w:val="center"/>
        <w:rPr>
          <w:rFonts w:ascii="Verdana" w:hAnsi="Verdana" w:cs="Times New Roman"/>
          <w:b/>
        </w:rPr>
      </w:pPr>
      <w:r w:rsidRPr="00E1071A">
        <w:rPr>
          <w:rFonts w:ascii="Verdana" w:hAnsi="Verdana" w:cs="Times New Roman"/>
          <w:b/>
        </w:rPr>
        <w:lastRenderedPageBreak/>
        <w:t>Cuadro No. 3</w:t>
      </w:r>
    </w:p>
    <w:p w14:paraId="068C8E4C" w14:textId="593BAFBE" w:rsidR="006A48CB" w:rsidRDefault="006A48CB" w:rsidP="006A48CB">
      <w:pPr>
        <w:jc w:val="center"/>
        <w:rPr>
          <w:rFonts w:ascii="Verdana" w:hAnsi="Verdana" w:cs="Times New Roman"/>
          <w:b/>
        </w:rPr>
      </w:pPr>
      <w:r w:rsidRPr="00E1071A">
        <w:rPr>
          <w:rFonts w:ascii="Verdana" w:hAnsi="Verdana" w:cs="Times New Roman"/>
          <w:b/>
        </w:rPr>
        <w:t>Comparativo de remuneración de Personal Temporal bajo renglón presupuestario 029 Otras remuneraciones de personal temporal años 2024 y 2025</w:t>
      </w:r>
    </w:p>
    <w:p w14:paraId="61D20212" w14:textId="50A6603A" w:rsidR="006A48CB" w:rsidRDefault="006A48CB" w:rsidP="006A48CB">
      <w:pPr>
        <w:jc w:val="center"/>
        <w:rPr>
          <w:rFonts w:ascii="Verdana" w:hAnsi="Verdana" w:cs="Times New Roman"/>
          <w:b/>
        </w:rPr>
      </w:pPr>
    </w:p>
    <w:p w14:paraId="19C67C4C" w14:textId="56375B00" w:rsidR="006A48CB" w:rsidRPr="00E1071A" w:rsidRDefault="00164E9C" w:rsidP="006A48CB">
      <w:pPr>
        <w:jc w:val="center"/>
        <w:rPr>
          <w:rFonts w:ascii="Verdana" w:hAnsi="Verdana" w:cs="Times New Roman"/>
          <w:b/>
        </w:rPr>
      </w:pPr>
      <w:r w:rsidRPr="00164E9C">
        <w:rPr>
          <w:noProof/>
        </w:rPr>
        <w:drawing>
          <wp:inline distT="0" distB="0" distL="0" distR="0" wp14:anchorId="0015B1ED" wp14:editId="3C20D745">
            <wp:extent cx="5611170" cy="2027582"/>
            <wp:effectExtent l="19050" t="19050" r="27940" b="1079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525" cy="203240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0282587" w14:textId="77777777" w:rsidR="00164E9C" w:rsidRDefault="00164E9C" w:rsidP="00AB38F5">
      <w:pPr>
        <w:rPr>
          <w:rFonts w:ascii="Verdana" w:hAnsi="Verdana" w:cs="Arial"/>
          <w:b/>
          <w:sz w:val="14"/>
          <w:lang w:val="es-MX"/>
        </w:rPr>
      </w:pPr>
    </w:p>
    <w:p w14:paraId="0088C1AB" w14:textId="386955AC" w:rsidR="006A48CB" w:rsidRPr="00732114" w:rsidRDefault="006A48CB" w:rsidP="00AB38F5">
      <w:pPr>
        <w:rPr>
          <w:rFonts w:ascii="Verdana" w:hAnsi="Verdana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>
        <w:rPr>
          <w:rFonts w:ascii="Verdana" w:hAnsi="Verdana" w:cs="Arial"/>
          <w:sz w:val="14"/>
          <w:lang w:val="es-MX"/>
        </w:rPr>
        <w:t>05/0</w:t>
      </w:r>
      <w:r w:rsidR="00164E9C">
        <w:rPr>
          <w:rFonts w:ascii="Verdana" w:hAnsi="Verdana" w:cs="Arial"/>
          <w:sz w:val="14"/>
          <w:lang w:val="es-MX"/>
        </w:rPr>
        <w:t>6</w:t>
      </w:r>
      <w:r>
        <w:rPr>
          <w:rFonts w:ascii="Verdana" w:hAnsi="Verdana" w:cs="Arial"/>
          <w:sz w:val="14"/>
          <w:lang w:val="es-MX"/>
        </w:rPr>
        <w:t xml:space="preserve">/2025 </w:t>
      </w:r>
    </w:p>
    <w:sectPr w:rsidR="006A48CB" w:rsidRPr="00732114" w:rsidSect="002114A1">
      <w:headerReference w:type="default" r:id="rId12"/>
      <w:footerReference w:type="default" r:id="rId13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61718" w14:textId="77777777" w:rsidR="00212A78" w:rsidRDefault="00212A78" w:rsidP="00950217">
      <w:r>
        <w:separator/>
      </w:r>
    </w:p>
  </w:endnote>
  <w:endnote w:type="continuationSeparator" w:id="0">
    <w:p w14:paraId="35D4CD5F" w14:textId="77777777" w:rsidR="00212A78" w:rsidRDefault="00212A78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181949046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E2287" w14:textId="77777777" w:rsidR="00212A78" w:rsidRDefault="00212A78" w:rsidP="00950217">
      <w:r>
        <w:separator/>
      </w:r>
    </w:p>
  </w:footnote>
  <w:footnote w:type="continuationSeparator" w:id="0">
    <w:p w14:paraId="46B1AE3D" w14:textId="77777777" w:rsidR="00212A78" w:rsidRDefault="00212A78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708F97A">
          <wp:simplePos x="0" y="0"/>
          <wp:positionH relativeFrom="page">
            <wp:posOffset>0</wp:posOffset>
          </wp:positionH>
          <wp:positionV relativeFrom="paragraph">
            <wp:posOffset>-414655</wp:posOffset>
          </wp:positionV>
          <wp:extent cx="7753350" cy="1283452"/>
          <wp:effectExtent l="0" t="0" r="0" b="0"/>
          <wp:wrapNone/>
          <wp:docPr id="2142734071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029B4"/>
    <w:rsid w:val="00015989"/>
    <w:rsid w:val="00040299"/>
    <w:rsid w:val="00047616"/>
    <w:rsid w:val="00062442"/>
    <w:rsid w:val="000638DF"/>
    <w:rsid w:val="000A3E92"/>
    <w:rsid w:val="000D75DA"/>
    <w:rsid w:val="000E43D2"/>
    <w:rsid w:val="000F6B0C"/>
    <w:rsid w:val="00100102"/>
    <w:rsid w:val="001046A7"/>
    <w:rsid w:val="001352BF"/>
    <w:rsid w:val="00142F8F"/>
    <w:rsid w:val="00164E9C"/>
    <w:rsid w:val="00166D19"/>
    <w:rsid w:val="001769F7"/>
    <w:rsid w:val="00183A5B"/>
    <w:rsid w:val="001913DA"/>
    <w:rsid w:val="001952E8"/>
    <w:rsid w:val="001A23E1"/>
    <w:rsid w:val="001B245F"/>
    <w:rsid w:val="001B4703"/>
    <w:rsid w:val="001C28E1"/>
    <w:rsid w:val="00210269"/>
    <w:rsid w:val="002114A1"/>
    <w:rsid w:val="00212A78"/>
    <w:rsid w:val="002204FB"/>
    <w:rsid w:val="00230B4A"/>
    <w:rsid w:val="00235A0B"/>
    <w:rsid w:val="0024654A"/>
    <w:rsid w:val="00262645"/>
    <w:rsid w:val="0027175D"/>
    <w:rsid w:val="0027426F"/>
    <w:rsid w:val="00275CAA"/>
    <w:rsid w:val="002802F9"/>
    <w:rsid w:val="002A55C2"/>
    <w:rsid w:val="002A561E"/>
    <w:rsid w:val="002A7104"/>
    <w:rsid w:val="002C2478"/>
    <w:rsid w:val="002C38CB"/>
    <w:rsid w:val="002E52C2"/>
    <w:rsid w:val="002F17ED"/>
    <w:rsid w:val="002F6AD0"/>
    <w:rsid w:val="00313F7D"/>
    <w:rsid w:val="00314DB8"/>
    <w:rsid w:val="00322962"/>
    <w:rsid w:val="00341264"/>
    <w:rsid w:val="0037225F"/>
    <w:rsid w:val="00383F4B"/>
    <w:rsid w:val="003974CA"/>
    <w:rsid w:val="003A612F"/>
    <w:rsid w:val="003D7416"/>
    <w:rsid w:val="003F54EC"/>
    <w:rsid w:val="0041765D"/>
    <w:rsid w:val="00441015"/>
    <w:rsid w:val="00473FE8"/>
    <w:rsid w:val="00487AF3"/>
    <w:rsid w:val="004D43EC"/>
    <w:rsid w:val="004D5152"/>
    <w:rsid w:val="00503B74"/>
    <w:rsid w:val="00507D19"/>
    <w:rsid w:val="005537AE"/>
    <w:rsid w:val="00593C7D"/>
    <w:rsid w:val="0059682B"/>
    <w:rsid w:val="005A4D35"/>
    <w:rsid w:val="005B1EF4"/>
    <w:rsid w:val="005B4620"/>
    <w:rsid w:val="005B479F"/>
    <w:rsid w:val="005C4EEB"/>
    <w:rsid w:val="005C61BD"/>
    <w:rsid w:val="005C7CF2"/>
    <w:rsid w:val="005E2E7E"/>
    <w:rsid w:val="005F5695"/>
    <w:rsid w:val="00607F76"/>
    <w:rsid w:val="006141AA"/>
    <w:rsid w:val="006167A2"/>
    <w:rsid w:val="006240FE"/>
    <w:rsid w:val="00687CE4"/>
    <w:rsid w:val="00693BAC"/>
    <w:rsid w:val="006A48CB"/>
    <w:rsid w:val="006B3B0D"/>
    <w:rsid w:val="006C4A2F"/>
    <w:rsid w:val="006E1C78"/>
    <w:rsid w:val="006E32FB"/>
    <w:rsid w:val="006E79D6"/>
    <w:rsid w:val="006F11CD"/>
    <w:rsid w:val="006F15AF"/>
    <w:rsid w:val="0071329B"/>
    <w:rsid w:val="00732114"/>
    <w:rsid w:val="00733A93"/>
    <w:rsid w:val="00765F95"/>
    <w:rsid w:val="00775772"/>
    <w:rsid w:val="00782E25"/>
    <w:rsid w:val="007C4B5E"/>
    <w:rsid w:val="008075F3"/>
    <w:rsid w:val="008254BC"/>
    <w:rsid w:val="00870270"/>
    <w:rsid w:val="008723E7"/>
    <w:rsid w:val="0088486A"/>
    <w:rsid w:val="00891D77"/>
    <w:rsid w:val="008966AB"/>
    <w:rsid w:val="008973EC"/>
    <w:rsid w:val="008A4305"/>
    <w:rsid w:val="008A58DA"/>
    <w:rsid w:val="008B726B"/>
    <w:rsid w:val="008E47E2"/>
    <w:rsid w:val="0090788B"/>
    <w:rsid w:val="009263F2"/>
    <w:rsid w:val="00927BDC"/>
    <w:rsid w:val="009310EF"/>
    <w:rsid w:val="00950217"/>
    <w:rsid w:val="009571B6"/>
    <w:rsid w:val="009754CE"/>
    <w:rsid w:val="009B035D"/>
    <w:rsid w:val="009C40EB"/>
    <w:rsid w:val="009E1F4C"/>
    <w:rsid w:val="009F1326"/>
    <w:rsid w:val="009F2236"/>
    <w:rsid w:val="009F6A1D"/>
    <w:rsid w:val="009F7CFB"/>
    <w:rsid w:val="00A020F8"/>
    <w:rsid w:val="00A03420"/>
    <w:rsid w:val="00A06E45"/>
    <w:rsid w:val="00A07044"/>
    <w:rsid w:val="00A11628"/>
    <w:rsid w:val="00A222A9"/>
    <w:rsid w:val="00A23B89"/>
    <w:rsid w:val="00A34B00"/>
    <w:rsid w:val="00A57D2A"/>
    <w:rsid w:val="00AB22FE"/>
    <w:rsid w:val="00AB38F5"/>
    <w:rsid w:val="00AB3E39"/>
    <w:rsid w:val="00AB3EA8"/>
    <w:rsid w:val="00AC30B6"/>
    <w:rsid w:val="00AC73B4"/>
    <w:rsid w:val="00AE59AB"/>
    <w:rsid w:val="00AE7BBF"/>
    <w:rsid w:val="00B316E3"/>
    <w:rsid w:val="00B559C3"/>
    <w:rsid w:val="00B55A30"/>
    <w:rsid w:val="00B60E91"/>
    <w:rsid w:val="00BB18C3"/>
    <w:rsid w:val="00BB35A3"/>
    <w:rsid w:val="00BE4C5C"/>
    <w:rsid w:val="00BE4DD6"/>
    <w:rsid w:val="00BE6DE5"/>
    <w:rsid w:val="00BF205D"/>
    <w:rsid w:val="00C07E0B"/>
    <w:rsid w:val="00C64308"/>
    <w:rsid w:val="00C72F67"/>
    <w:rsid w:val="00C92036"/>
    <w:rsid w:val="00C93DDB"/>
    <w:rsid w:val="00CB25CE"/>
    <w:rsid w:val="00CB2A75"/>
    <w:rsid w:val="00CC539A"/>
    <w:rsid w:val="00CC7AC2"/>
    <w:rsid w:val="00CD15FB"/>
    <w:rsid w:val="00CD40D1"/>
    <w:rsid w:val="00CE3B77"/>
    <w:rsid w:val="00CF26E5"/>
    <w:rsid w:val="00CF2ACD"/>
    <w:rsid w:val="00CF72F1"/>
    <w:rsid w:val="00D266EB"/>
    <w:rsid w:val="00D51DA9"/>
    <w:rsid w:val="00D61975"/>
    <w:rsid w:val="00D806CC"/>
    <w:rsid w:val="00D80E99"/>
    <w:rsid w:val="00DA4F9A"/>
    <w:rsid w:val="00DA6525"/>
    <w:rsid w:val="00DB1796"/>
    <w:rsid w:val="00DB42CA"/>
    <w:rsid w:val="00DD49D8"/>
    <w:rsid w:val="00DD720C"/>
    <w:rsid w:val="00DE379B"/>
    <w:rsid w:val="00DE37ED"/>
    <w:rsid w:val="00E01E7B"/>
    <w:rsid w:val="00E07DC6"/>
    <w:rsid w:val="00E21A0D"/>
    <w:rsid w:val="00E301A8"/>
    <w:rsid w:val="00E40F53"/>
    <w:rsid w:val="00E66286"/>
    <w:rsid w:val="00E76CDB"/>
    <w:rsid w:val="00EB2464"/>
    <w:rsid w:val="00EB300F"/>
    <w:rsid w:val="00ED2FA1"/>
    <w:rsid w:val="00EE2B1A"/>
    <w:rsid w:val="00EF05FE"/>
    <w:rsid w:val="00F27518"/>
    <w:rsid w:val="00F3183C"/>
    <w:rsid w:val="00F3241F"/>
    <w:rsid w:val="00F61D80"/>
    <w:rsid w:val="00F7732C"/>
    <w:rsid w:val="00F77369"/>
    <w:rsid w:val="00F810AA"/>
    <w:rsid w:val="00F8626B"/>
    <w:rsid w:val="00F919AF"/>
    <w:rsid w:val="00F93906"/>
    <w:rsid w:val="00FB2180"/>
    <w:rsid w:val="00FB3BBA"/>
    <w:rsid w:val="00FB4425"/>
    <w:rsid w:val="00FD0745"/>
    <w:rsid w:val="00FD6F2C"/>
    <w:rsid w:val="00FD7D6E"/>
    <w:rsid w:val="00FF65A6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38F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AB38F5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B38F5"/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5CA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75CA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75C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0C86D-CBEC-459B-9EB7-B57DE419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arrivillaga</dc:creator>
  <cp:lastModifiedBy>Jaime René Hernández</cp:lastModifiedBy>
  <cp:revision>5</cp:revision>
  <cp:lastPrinted>2025-06-10T23:03:00Z</cp:lastPrinted>
  <dcterms:created xsi:type="dcterms:W3CDTF">2025-06-06T22:21:00Z</dcterms:created>
  <dcterms:modified xsi:type="dcterms:W3CDTF">2025-06-10T23:03:00Z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