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:rsidR="009F056D" w:rsidRPr="00C85328" w:rsidRDefault="00C85328">
      <w:pPr>
        <w:rPr>
          <w:b/>
          <w:bCs/>
          <w:noProof/>
          <w:lang w:val="es-MX"/>
        </w:rPr>
      </w:pPr>
      <w:r w:rsidRPr="00C85328">
        <w:rPr>
          <w:b/>
          <w:bCs/>
          <w:noProof/>
          <w:lang w:val="es-MX"/>
        </w:rPr>
        <w:t>Atención de acuerdo al género:</w:t>
      </w:r>
    </w:p>
    <w:p w:rsidR="00C85328" w:rsidRPr="000A7FC5" w:rsidRDefault="000A7FC5">
      <w:pPr>
        <w:rPr>
          <w:b/>
          <w:bCs/>
          <w:lang w:val="es-MX"/>
        </w:rPr>
      </w:pPr>
      <w:r w:rsidRPr="000A7FC5">
        <w:rPr>
          <w:b/>
          <w:bCs/>
          <w:lang w:val="es-MX"/>
        </w:rPr>
        <w:drawing>
          <wp:inline distT="0" distB="0" distL="0" distR="0">
            <wp:extent cx="8534400" cy="4124325"/>
            <wp:effectExtent l="19050" t="0" r="19050" b="0"/>
            <wp:docPr id="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al pueblo:</w:t>
      </w:r>
    </w:p>
    <w:p w:rsidR="00C85328" w:rsidRDefault="000A7FC5">
      <w:pPr>
        <w:rPr>
          <w:lang w:val="es-MX"/>
        </w:rPr>
      </w:pPr>
      <w:r w:rsidRPr="000A7FC5">
        <w:rPr>
          <w:lang w:val="es-MX"/>
        </w:rPr>
        <w:drawing>
          <wp:inline distT="0" distB="0" distL="0" distR="0">
            <wp:extent cx="8591550" cy="4343400"/>
            <wp:effectExtent l="19050" t="0" r="1905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 la Lengua:</w:t>
      </w:r>
    </w:p>
    <w:p w:rsidR="00C85328" w:rsidRDefault="000A7FC5">
      <w:pPr>
        <w:rPr>
          <w:lang w:val="es-MX"/>
        </w:rPr>
      </w:pPr>
      <w:r w:rsidRPr="000A7FC5">
        <w:rPr>
          <w:lang w:val="es-MX"/>
        </w:rPr>
        <w:drawing>
          <wp:inline distT="0" distB="0" distL="0" distR="0">
            <wp:extent cx="8477250" cy="4457700"/>
            <wp:effectExtent l="19050" t="0" r="1905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85328" w:rsidSect="00C84E66">
      <w:headerReference w:type="default" r:id="rId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A5" w:rsidRDefault="009B61A5" w:rsidP="00C84E66">
      <w:pPr>
        <w:spacing w:before="0" w:after="0"/>
      </w:pPr>
      <w:r>
        <w:separator/>
      </w:r>
    </w:p>
  </w:endnote>
  <w:endnote w:type="continuationSeparator" w:id="0">
    <w:p w:rsidR="009B61A5" w:rsidRDefault="009B61A5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A5" w:rsidRDefault="009B61A5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9B61A5" w:rsidRDefault="009B61A5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A7FC5"/>
    <w:rsid w:val="000B3099"/>
    <w:rsid w:val="000B7AEA"/>
    <w:rsid w:val="000D7AC8"/>
    <w:rsid w:val="000E5FF5"/>
    <w:rsid w:val="001121D3"/>
    <w:rsid w:val="00114CEA"/>
    <w:rsid w:val="00143E7E"/>
    <w:rsid w:val="00167793"/>
    <w:rsid w:val="001705EE"/>
    <w:rsid w:val="001978B0"/>
    <w:rsid w:val="001B5CB3"/>
    <w:rsid w:val="0021085D"/>
    <w:rsid w:val="00220577"/>
    <w:rsid w:val="002205F4"/>
    <w:rsid w:val="002305B9"/>
    <w:rsid w:val="00297B2E"/>
    <w:rsid w:val="002F000F"/>
    <w:rsid w:val="00310CB7"/>
    <w:rsid w:val="003166D6"/>
    <w:rsid w:val="0034267E"/>
    <w:rsid w:val="00377E50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6451BA"/>
    <w:rsid w:val="00652B75"/>
    <w:rsid w:val="00683C52"/>
    <w:rsid w:val="006A4ABB"/>
    <w:rsid w:val="006A6562"/>
    <w:rsid w:val="006A71AC"/>
    <w:rsid w:val="006B7496"/>
    <w:rsid w:val="006E0B4C"/>
    <w:rsid w:val="00782159"/>
    <w:rsid w:val="00790A8C"/>
    <w:rsid w:val="007B5C40"/>
    <w:rsid w:val="007D1FAF"/>
    <w:rsid w:val="007F2D29"/>
    <w:rsid w:val="0082554B"/>
    <w:rsid w:val="008648E3"/>
    <w:rsid w:val="00880A7B"/>
    <w:rsid w:val="008B3CCB"/>
    <w:rsid w:val="008C0418"/>
    <w:rsid w:val="008D32E2"/>
    <w:rsid w:val="009474DD"/>
    <w:rsid w:val="00947BA9"/>
    <w:rsid w:val="009667C3"/>
    <w:rsid w:val="009B2694"/>
    <w:rsid w:val="009B61A5"/>
    <w:rsid w:val="009F056D"/>
    <w:rsid w:val="00A072CE"/>
    <w:rsid w:val="00A155F8"/>
    <w:rsid w:val="00A22B08"/>
    <w:rsid w:val="00A45414"/>
    <w:rsid w:val="00A47192"/>
    <w:rsid w:val="00AA516E"/>
    <w:rsid w:val="00AB324C"/>
    <w:rsid w:val="00AC6643"/>
    <w:rsid w:val="00AE562A"/>
    <w:rsid w:val="00B17C11"/>
    <w:rsid w:val="00BB3787"/>
    <w:rsid w:val="00BD225B"/>
    <w:rsid w:val="00BE506E"/>
    <w:rsid w:val="00BE53D5"/>
    <w:rsid w:val="00C10218"/>
    <w:rsid w:val="00C323C8"/>
    <w:rsid w:val="00C84E66"/>
    <w:rsid w:val="00C85328"/>
    <w:rsid w:val="00C900DF"/>
    <w:rsid w:val="00CB7A95"/>
    <w:rsid w:val="00CD4565"/>
    <w:rsid w:val="00D37C0F"/>
    <w:rsid w:val="00D729A1"/>
    <w:rsid w:val="00DB4FA3"/>
    <w:rsid w:val="00E165F0"/>
    <w:rsid w:val="00E16BA5"/>
    <w:rsid w:val="00E61CE6"/>
    <w:rsid w:val="00E73C6D"/>
    <w:rsid w:val="00E76867"/>
    <w:rsid w:val="00EB135C"/>
    <w:rsid w:val="00F16EEE"/>
    <w:rsid w:val="00F175AF"/>
    <w:rsid w:val="00F31722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43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43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4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Atención por Género</a:t>
            </a:r>
          </a:p>
          <a:p>
            <a:pPr>
              <a:defRPr/>
            </a:pPr>
            <a:r>
              <a:rPr lang="en-US" sz="1800" b="1" i="0" baseline="0"/>
              <a:t>Abr. 2026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Gènero!$B$1294:$D$1294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Gènero!$B$1295:$D$1295</c:f>
              <c:numCache>
                <c:formatCode>0</c:formatCode>
                <c:ptCount val="3"/>
                <c:pt idx="0">
                  <c:v>34</c:v>
                </c:pt>
                <c:pt idx="1">
                  <c:v>39</c:v>
                </c:pt>
                <c:pt idx="2">
                  <c:v>0</c:v>
                </c:pt>
              </c:numCache>
            </c:numRef>
          </c:val>
        </c:ser>
        <c:axId val="73505024"/>
        <c:axId val="93226112"/>
      </c:barChart>
      <c:catAx>
        <c:axId val="73505024"/>
        <c:scaling>
          <c:orientation val="minMax"/>
        </c:scaling>
        <c:axPos val="b"/>
        <c:majorTickMark val="none"/>
        <c:tickLblPos val="nextTo"/>
        <c:crossAx val="93226112"/>
        <c:crosses val="autoZero"/>
        <c:auto val="1"/>
        <c:lblAlgn val="ctr"/>
        <c:lblOffset val="100"/>
      </c:catAx>
      <c:valAx>
        <c:axId val="9322611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350502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de acuerdo al pueblo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abr.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Pueblo!$A$1261</c:f>
              <c:strCache>
                <c:ptCount val="1"/>
                <c:pt idx="0">
                  <c:v>abr. 2026</c:v>
                </c:pt>
              </c:strCache>
            </c:strRef>
          </c:tx>
          <c:dLbls>
            <c:showVal val="1"/>
          </c:dLbls>
          <c:cat>
            <c:strRef>
              <c:f>Pueblo!$B$1260:$F$1260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Pueblo!$B$1261:$F$1261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68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axId val="93694208"/>
        <c:axId val="129886080"/>
      </c:barChart>
      <c:catAx>
        <c:axId val="93694208"/>
        <c:scaling>
          <c:orientation val="minMax"/>
        </c:scaling>
        <c:axPos val="b"/>
        <c:tickLblPos val="nextTo"/>
        <c:crossAx val="129886080"/>
        <c:crosses val="autoZero"/>
        <c:auto val="1"/>
        <c:lblAlgn val="ctr"/>
        <c:lblOffset val="100"/>
      </c:catAx>
      <c:valAx>
        <c:axId val="129886080"/>
        <c:scaling>
          <c:orientation val="minMax"/>
        </c:scaling>
        <c:axPos val="l"/>
        <c:majorGridlines/>
        <c:numFmt formatCode="General" sourceLinked="1"/>
        <c:tickLblPos val="nextTo"/>
        <c:crossAx val="9369420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por Lengua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abr.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Lengua!$A$1267</c:f>
              <c:strCache>
                <c:ptCount val="1"/>
                <c:pt idx="0">
                  <c:v>abr. 2026</c:v>
                </c:pt>
              </c:strCache>
            </c:strRef>
          </c:tx>
          <c:dLbls>
            <c:showVal val="1"/>
          </c:dLbls>
          <c:cat>
            <c:strRef>
              <c:f>Lengua!$B$1266:$F$1266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Lengua!$B$1267:$F$1267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axId val="150350080"/>
        <c:axId val="150385024"/>
      </c:barChart>
      <c:catAx>
        <c:axId val="150350080"/>
        <c:scaling>
          <c:orientation val="minMax"/>
        </c:scaling>
        <c:axPos val="b"/>
        <c:tickLblPos val="nextTo"/>
        <c:crossAx val="150385024"/>
        <c:crosses val="autoZero"/>
        <c:auto val="1"/>
        <c:lblAlgn val="ctr"/>
        <c:lblOffset val="100"/>
      </c:catAx>
      <c:valAx>
        <c:axId val="150385024"/>
        <c:scaling>
          <c:orientation val="minMax"/>
        </c:scaling>
        <c:axPos val="l"/>
        <c:majorGridlines/>
        <c:numFmt formatCode="General" sourceLinked="1"/>
        <c:tickLblPos val="nextTo"/>
        <c:crossAx val="15035008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4</cp:revision>
  <cp:lastPrinted>2026-02-19T17:18:00Z</cp:lastPrinted>
  <dcterms:created xsi:type="dcterms:W3CDTF">2026-03-25T13:48:00Z</dcterms:created>
  <dcterms:modified xsi:type="dcterms:W3CDTF">2026-05-07T15:49:00Z</dcterms:modified>
</cp:coreProperties>
</file>