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69FA0C4A" w:rsidR="00AD3E1C" w:rsidRPr="00C608DA" w:rsidRDefault="00E11A77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Abril</w:t>
      </w:r>
      <w:r w:rsidR="00A73DB8">
        <w:rPr>
          <w:rFonts w:ascii="Verdana" w:hAnsi="Verdana" w:cs="Arial"/>
          <w:b/>
          <w:color w:val="002060"/>
          <w:sz w:val="48"/>
        </w:rPr>
        <w:t xml:space="preserve"> </w:t>
      </w:r>
      <w:r w:rsidR="00D56943">
        <w:rPr>
          <w:rFonts w:ascii="Verdana" w:hAnsi="Verdana" w:cs="Arial"/>
          <w:b/>
          <w:color w:val="002060"/>
          <w:sz w:val="48"/>
        </w:rPr>
        <w:t>202</w:t>
      </w:r>
      <w:r w:rsidR="004D557E">
        <w:rPr>
          <w:rFonts w:ascii="Verdana" w:hAnsi="Verdana" w:cs="Arial"/>
          <w:b/>
          <w:color w:val="002060"/>
          <w:sz w:val="48"/>
        </w:rPr>
        <w:t>6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5C807E1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62866850" w:rsidR="00AD3E1C" w:rsidRPr="00C608DA" w:rsidRDefault="00E11A77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ABRIL</w:t>
      </w:r>
      <w:r w:rsidR="004D557E">
        <w:rPr>
          <w:rFonts w:ascii="Verdana" w:hAnsi="Verdana" w:cs="Arial"/>
          <w:b/>
          <w:lang w:val="es-MX"/>
        </w:rPr>
        <w:t xml:space="preserve"> 2026</w:t>
      </w:r>
    </w:p>
    <w:p w14:paraId="4DF5909F" w14:textId="7777777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5CB1F2FA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11DF6939" w:rsidR="00AD3E1C" w:rsidRPr="00C608DA" w:rsidRDefault="00D95101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F34397">
        <w:rPr>
          <w:rFonts w:ascii="Verdana" w:eastAsia="Calibri" w:hAnsi="Verdana" w:cs="Arial"/>
          <w:szCs w:val="24"/>
          <w:lang w:val="es-MX" w:eastAsia="en-US"/>
        </w:rPr>
        <w:t xml:space="preserve"> y disminuye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A04EA">
        <w:rPr>
          <w:rFonts w:ascii="Verdana" w:eastAsia="Calibri" w:hAnsi="Verdana" w:cs="Arial"/>
          <w:szCs w:val="24"/>
          <w:lang w:val="es-MX" w:eastAsia="en-US"/>
        </w:rPr>
        <w:t xml:space="preserve">por la cantidad de                                          </w:t>
      </w:r>
      <w:r w:rsidR="007A04EA" w:rsidRPr="007A04EA">
        <w:rPr>
          <w:rFonts w:ascii="Verdana" w:eastAsia="Calibri" w:hAnsi="Verdana" w:cs="Arial"/>
          <w:b/>
          <w:szCs w:val="24"/>
          <w:lang w:val="es-MX" w:eastAsia="en-US"/>
        </w:rPr>
        <w:t>-Q25,981,572</w:t>
      </w:r>
      <w:r w:rsidR="004D557E" w:rsidRPr="007A04E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7A04EA">
        <w:rPr>
          <w:rFonts w:ascii="Verdana" w:eastAsia="Calibri" w:hAnsi="Verdana" w:cs="Arial"/>
          <w:b/>
          <w:szCs w:val="24"/>
          <w:lang w:val="es-MX" w:eastAsia="en-US"/>
        </w:rPr>
        <w:t>77,576,355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11A77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7A04EA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E11A77">
        <w:rPr>
          <w:rFonts w:ascii="Verdana" w:eastAsia="Calibri" w:hAnsi="Verdana" w:cs="Arial"/>
          <w:b/>
          <w:szCs w:val="24"/>
          <w:lang w:val="es-MX" w:eastAsia="en-US"/>
        </w:rPr>
        <w:t xml:space="preserve">44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E11A77">
        <w:rPr>
          <w:rFonts w:ascii="Verdana" w:eastAsia="Calibri" w:hAnsi="Verdana" w:cs="Arial"/>
          <w:b/>
          <w:szCs w:val="24"/>
          <w:lang w:val="es-MX" w:eastAsia="en-US"/>
        </w:rPr>
        <w:t>12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77777777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0C8DF8E0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5E32508E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34159A59" w14:textId="137DF8F1" w:rsidR="00AD3E1C" w:rsidRDefault="00AD3E1C" w:rsidP="00DE6618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1B04123A" w14:textId="4C0A643C" w:rsidR="00E11A77" w:rsidRPr="00033CDE" w:rsidRDefault="00E11A77" w:rsidP="00E11A77">
      <w:pPr>
        <w:jc w:val="center"/>
        <w:rPr>
          <w:rFonts w:ascii="Verdana" w:hAnsi="Verdana" w:cs="Arial"/>
          <w:b/>
          <w:sz w:val="14"/>
          <w:lang w:val="es-MX"/>
        </w:rPr>
      </w:pPr>
    </w:p>
    <w:p w14:paraId="47B65A71" w14:textId="0000D508" w:rsidR="00E11A77" w:rsidRDefault="00033CDE" w:rsidP="00E11A77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4189FF70" wp14:editId="0156B525">
            <wp:extent cx="4139739" cy="3042285"/>
            <wp:effectExtent l="0" t="0" r="0" b="5715"/>
            <wp:docPr id="233578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940" cy="3052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F9DAF" w14:textId="0C090C2C" w:rsidR="00D82ED0" w:rsidRPr="007A04EA" w:rsidRDefault="004B2098" w:rsidP="00E11A77">
      <w:pPr>
        <w:jc w:val="center"/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>)</w:t>
      </w:r>
      <w:r w:rsidR="007A04EA">
        <w:rPr>
          <w:rFonts w:ascii="Verdana" w:hAnsi="Verdana" w:cs="Arial"/>
          <w:sz w:val="14"/>
          <w:lang w:val="es-MX"/>
        </w:rPr>
        <w:t xml:space="preserve"> 0</w:t>
      </w:r>
      <w:r w:rsidR="00E11A77">
        <w:rPr>
          <w:rFonts w:ascii="Verdana" w:hAnsi="Verdana" w:cs="Arial"/>
          <w:sz w:val="14"/>
          <w:lang w:val="es-MX"/>
        </w:rPr>
        <w:t>5</w:t>
      </w:r>
      <w:r w:rsidR="007A04EA">
        <w:rPr>
          <w:rFonts w:ascii="Verdana" w:hAnsi="Verdana" w:cs="Arial"/>
          <w:sz w:val="14"/>
          <w:lang w:val="es-MX"/>
        </w:rPr>
        <w:t>/0</w:t>
      </w:r>
      <w:r w:rsidR="00E11A77">
        <w:rPr>
          <w:rFonts w:ascii="Verdana" w:hAnsi="Verdana" w:cs="Arial"/>
          <w:sz w:val="14"/>
          <w:lang w:val="es-MX"/>
        </w:rPr>
        <w:t>5</w:t>
      </w:r>
      <w:r w:rsidR="007A04EA">
        <w:rPr>
          <w:rFonts w:ascii="Verdana" w:hAnsi="Verdana" w:cs="Arial"/>
          <w:sz w:val="14"/>
          <w:lang w:val="es-MX"/>
        </w:rPr>
        <w:t>/2026</w:t>
      </w:r>
    </w:p>
    <w:p w14:paraId="6D84FC17" w14:textId="49E427C3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50D877D9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B7AA969" w14:textId="14FE668B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29B4FD0" w14:textId="2B290CC9" w:rsidR="008611F7" w:rsidRDefault="00E11A77" w:rsidP="00A81D8D">
      <w:pPr>
        <w:rPr>
          <w:rFonts w:ascii="Verdana" w:hAnsi="Verdana" w:cs="Arial"/>
          <w:b/>
          <w:sz w:val="12"/>
          <w:lang w:val="es-MX"/>
        </w:rPr>
      </w:pPr>
      <w:r>
        <w:rPr>
          <w:rFonts w:ascii="Verdana" w:hAnsi="Verdana" w:cs="Arial"/>
          <w:b/>
          <w:noProof/>
          <w:sz w:val="12"/>
          <w:lang w:eastAsia="es-GT"/>
        </w:rPr>
        <w:drawing>
          <wp:inline distT="0" distB="0" distL="0" distR="0" wp14:anchorId="03E0FCA6" wp14:editId="30006D63">
            <wp:extent cx="5917465" cy="3981796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248" cy="402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D5B08" w14:textId="25CB795B" w:rsidR="00271E5A" w:rsidRDefault="00ED3FA3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  <w:r>
        <w:rPr>
          <w:rFonts w:ascii="Verdana" w:hAnsi="Verdana" w:cs="Arial"/>
          <w:b/>
          <w:sz w:val="12"/>
          <w:lang w:val="es-MX"/>
        </w:rPr>
        <w:tab/>
      </w:r>
    </w:p>
    <w:p w14:paraId="25DAC392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5430ECC8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24C9A9EB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476AA617" w14:textId="60A19A3D" w:rsidR="00271E5A" w:rsidRDefault="00E11A77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  <w:r w:rsidRPr="00E11A77">
        <w:rPr>
          <w:noProof/>
        </w:rPr>
        <w:drawing>
          <wp:inline distT="0" distB="0" distL="0" distR="0" wp14:anchorId="39C69ED2" wp14:editId="5D618220">
            <wp:extent cx="5912249" cy="1976005"/>
            <wp:effectExtent l="19050" t="19050" r="12700" b="2476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82" cy="19964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0DDC47" w14:textId="77777777"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14:paraId="436A66EE" w14:textId="5B02F516" w:rsidR="004D557E" w:rsidRDefault="004D557E" w:rsidP="004D557E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 xml:space="preserve">) </w:t>
      </w:r>
      <w:r w:rsidR="007A04EA">
        <w:rPr>
          <w:rFonts w:ascii="Verdana" w:hAnsi="Verdana" w:cs="Arial"/>
          <w:sz w:val="14"/>
          <w:lang w:val="es-MX"/>
        </w:rPr>
        <w:t>0</w:t>
      </w:r>
      <w:r w:rsidR="0089685F">
        <w:rPr>
          <w:rFonts w:ascii="Verdana" w:hAnsi="Verdana" w:cs="Arial"/>
          <w:sz w:val="14"/>
          <w:lang w:val="es-MX"/>
        </w:rPr>
        <w:t>5</w:t>
      </w:r>
      <w:r w:rsidR="007A04EA">
        <w:rPr>
          <w:rFonts w:ascii="Verdana" w:hAnsi="Verdana" w:cs="Arial"/>
          <w:sz w:val="14"/>
          <w:lang w:val="es-MX"/>
        </w:rPr>
        <w:t>/0</w:t>
      </w:r>
      <w:r w:rsidR="0089685F">
        <w:rPr>
          <w:rFonts w:ascii="Verdana" w:hAnsi="Verdana" w:cs="Arial"/>
          <w:sz w:val="14"/>
          <w:lang w:val="es-MX"/>
        </w:rPr>
        <w:t>5</w:t>
      </w:r>
      <w:r w:rsidR="007A04EA">
        <w:rPr>
          <w:rFonts w:ascii="Verdana" w:hAnsi="Verdana" w:cs="Arial"/>
          <w:sz w:val="14"/>
          <w:lang w:val="es-MX"/>
        </w:rPr>
        <w:t>/2026</w:t>
      </w:r>
    </w:p>
    <w:p w14:paraId="1353FC2F" w14:textId="4B81F58A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53B57CD5" w14:textId="7482DF14"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14:paraId="5ED0DCF5" w14:textId="10F89D3A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5D9DCBC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4531863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70BB7735" w14:textId="201FD0B2" w:rsidR="00D34427" w:rsidRDefault="0089685F" w:rsidP="00AD3E1C">
      <w:pPr>
        <w:jc w:val="center"/>
        <w:rPr>
          <w:rFonts w:ascii="Verdana" w:hAnsi="Verdana" w:cs="Arial"/>
          <w:b/>
          <w:lang w:val="es-MX"/>
        </w:rPr>
      </w:pPr>
      <w:r w:rsidRPr="0089685F">
        <w:rPr>
          <w:noProof/>
        </w:rPr>
        <w:drawing>
          <wp:inline distT="0" distB="0" distL="0" distR="0" wp14:anchorId="65CCC87B" wp14:editId="68878B7E">
            <wp:extent cx="6336486" cy="6007677"/>
            <wp:effectExtent l="19050" t="19050" r="26670" b="1270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95" cy="602911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B95AC" w14:textId="09AA9B9C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89685F">
        <w:rPr>
          <w:rFonts w:ascii="Verdana" w:hAnsi="Verdana" w:cs="Arial"/>
          <w:sz w:val="14"/>
          <w:lang w:val="es-MX"/>
        </w:rPr>
        <w:t>5</w:t>
      </w:r>
      <w:r w:rsidR="007A04EA">
        <w:rPr>
          <w:rFonts w:ascii="Verdana" w:hAnsi="Verdana" w:cs="Arial"/>
          <w:sz w:val="14"/>
          <w:lang w:val="es-MX"/>
        </w:rPr>
        <w:t>/0</w:t>
      </w:r>
      <w:r w:rsidR="0089685F">
        <w:rPr>
          <w:rFonts w:ascii="Verdana" w:hAnsi="Verdana" w:cs="Arial"/>
          <w:sz w:val="14"/>
          <w:lang w:val="es-MX"/>
        </w:rPr>
        <w:t>5</w:t>
      </w:r>
      <w:r>
        <w:rPr>
          <w:rFonts w:ascii="Verdana" w:hAnsi="Verdana" w:cs="Arial"/>
          <w:sz w:val="14"/>
          <w:lang w:val="es-MX"/>
        </w:rPr>
        <w:t>/2026</w:t>
      </w:r>
    </w:p>
    <w:p w14:paraId="191A4D8C" w14:textId="53761A0D" w:rsidR="00AD3E1C" w:rsidRPr="00C608DA" w:rsidRDefault="00227761" w:rsidP="0089685F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dos </w:t>
      </w:r>
      <w:r w:rsidR="00AD3E1C" w:rsidRPr="00C608DA">
        <w:rPr>
          <w:rFonts w:ascii="Verdana" w:hAnsi="Verdana" w:cs="Arial"/>
          <w:lang w:val="es-MX"/>
        </w:rPr>
        <w:t xml:space="preserve">detalla el comportamiento </w:t>
      </w:r>
      <w:r w:rsidR="00197DBA">
        <w:rPr>
          <w:rFonts w:ascii="Verdana" w:hAnsi="Verdana" w:cs="Arial"/>
          <w:lang w:val="es-MX"/>
        </w:rPr>
        <w:t>de las cuotas financieras solicitadas y utilizadas de la unidad ejecutora,</w:t>
      </w:r>
      <w:r w:rsidR="00AD3E1C"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="00AD3E1C" w:rsidRPr="00C608DA">
        <w:rPr>
          <w:rFonts w:ascii="Verdana" w:hAnsi="Verdana" w:cs="Arial"/>
          <w:lang w:val="es-MX"/>
        </w:rPr>
        <w:t xml:space="preserve"> dist</w:t>
      </w:r>
      <w:r w:rsidR="00197DBA">
        <w:rPr>
          <w:rFonts w:ascii="Verdana" w:hAnsi="Verdana" w:cs="Arial"/>
          <w:lang w:val="es-MX"/>
        </w:rPr>
        <w:t>intas fuentes de financiamiento.</w:t>
      </w:r>
    </w:p>
    <w:p w14:paraId="104E9ACF" w14:textId="77777777"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14:paraId="5FA859CE" w14:textId="37854FAE" w:rsidR="00CA558D" w:rsidRPr="00C92B05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Cuadro No. 2</w:t>
      </w:r>
    </w:p>
    <w:p w14:paraId="588A1A30" w14:textId="506A42F4" w:rsidR="00CA558D" w:rsidRPr="00C92B05" w:rsidRDefault="006140CF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Viceministerio de Integración y Comercio Exterior</w:t>
      </w:r>
    </w:p>
    <w:p w14:paraId="451B81EC" w14:textId="34B62275" w:rsidR="00CA558D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Informe de Ejecución de Cuota Financiera</w:t>
      </w:r>
    </w:p>
    <w:p w14:paraId="4A54BA9F" w14:textId="77777777" w:rsidR="00D568AD" w:rsidRPr="00962AA6" w:rsidRDefault="00D568AD" w:rsidP="00CA558D">
      <w:pPr>
        <w:jc w:val="center"/>
        <w:rPr>
          <w:rFonts w:ascii="Verdana" w:hAnsi="Verdana" w:cs="Arial"/>
          <w:b/>
          <w:lang w:val="es-MX"/>
        </w:rPr>
      </w:pPr>
    </w:p>
    <w:p w14:paraId="4D2D01B8" w14:textId="1AAB163D" w:rsidR="003B7642" w:rsidRPr="00962AA6" w:rsidRDefault="0089685F" w:rsidP="00AD3E1C">
      <w:pPr>
        <w:jc w:val="both"/>
        <w:rPr>
          <w:rFonts w:ascii="Verdana" w:hAnsi="Verdana" w:cs="Arial"/>
          <w:lang w:val="es-MX"/>
        </w:rPr>
      </w:pPr>
      <w:r w:rsidRPr="0089685F">
        <w:rPr>
          <w:noProof/>
        </w:rPr>
        <w:drawing>
          <wp:inline distT="0" distB="0" distL="0" distR="0" wp14:anchorId="490AB8CD" wp14:editId="0A66A7A8">
            <wp:extent cx="5890895" cy="2283576"/>
            <wp:effectExtent l="19050" t="19050" r="14605" b="215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09" cy="228838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C3FF9D" w14:textId="01748EAD" w:rsidR="003B7642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</w:p>
    <w:p w14:paraId="45A9D6D4" w14:textId="7E0FE13B"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89685F">
        <w:rPr>
          <w:rFonts w:ascii="Verdana" w:hAnsi="Verdana" w:cs="Arial"/>
          <w:sz w:val="14"/>
          <w:lang w:val="es-MX"/>
        </w:rPr>
        <w:t>5</w:t>
      </w:r>
      <w:r>
        <w:rPr>
          <w:rFonts w:ascii="Verdana" w:hAnsi="Verdana" w:cs="Arial"/>
          <w:sz w:val="14"/>
          <w:lang w:val="es-MX"/>
        </w:rPr>
        <w:t>/0</w:t>
      </w:r>
      <w:r w:rsidR="0089685F">
        <w:rPr>
          <w:rFonts w:ascii="Verdana" w:hAnsi="Verdana" w:cs="Arial"/>
          <w:sz w:val="14"/>
          <w:lang w:val="es-MX"/>
        </w:rPr>
        <w:t>5</w:t>
      </w:r>
      <w:r>
        <w:rPr>
          <w:rFonts w:ascii="Verdana" w:hAnsi="Verdana" w:cs="Arial"/>
          <w:sz w:val="14"/>
          <w:lang w:val="es-MX"/>
        </w:rPr>
        <w:t>/2026</w:t>
      </w:r>
    </w:p>
    <w:p w14:paraId="3861A5CC" w14:textId="77777777" w:rsidR="00AD3E1C" w:rsidRPr="00C608DA" w:rsidRDefault="00AD3E1C" w:rsidP="00AD3E1C">
      <w:pPr>
        <w:rPr>
          <w:rFonts w:ascii="Verdana" w:hAnsi="Verdana"/>
        </w:rPr>
      </w:pPr>
    </w:p>
    <w:p w14:paraId="15224978" w14:textId="77777777" w:rsidR="00AD3E1C" w:rsidRPr="00C608DA" w:rsidRDefault="00AD3E1C" w:rsidP="00AD3E1C">
      <w:pPr>
        <w:rPr>
          <w:rFonts w:ascii="Verdana" w:hAnsi="Verdana"/>
        </w:rPr>
      </w:pPr>
    </w:p>
    <w:sectPr w:rsidR="00AD3E1C" w:rsidRPr="00C608DA" w:rsidSect="00A86170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274C" w14:textId="77777777" w:rsidR="00DD30A7" w:rsidRDefault="00DD30A7" w:rsidP="00950217">
      <w:r>
        <w:separator/>
      </w:r>
    </w:p>
  </w:endnote>
  <w:endnote w:type="continuationSeparator" w:id="0">
    <w:p w14:paraId="3EFEF594" w14:textId="77777777" w:rsidR="00DD30A7" w:rsidRDefault="00DD30A7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0F76" w14:textId="77777777" w:rsidR="00DD30A7" w:rsidRDefault="00DD30A7" w:rsidP="00950217">
      <w:r>
        <w:separator/>
      </w:r>
    </w:p>
  </w:footnote>
  <w:footnote w:type="continuationSeparator" w:id="0">
    <w:p w14:paraId="6090A62C" w14:textId="77777777" w:rsidR="00DD30A7" w:rsidRDefault="00DD30A7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41F8"/>
    <w:rsid w:val="00024BDC"/>
    <w:rsid w:val="00033CDE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87E4E"/>
    <w:rsid w:val="001933BD"/>
    <w:rsid w:val="0019615A"/>
    <w:rsid w:val="00197DBA"/>
    <w:rsid w:val="001B19AA"/>
    <w:rsid w:val="001F4FAA"/>
    <w:rsid w:val="00214DC7"/>
    <w:rsid w:val="00223F76"/>
    <w:rsid w:val="00227761"/>
    <w:rsid w:val="00227BE6"/>
    <w:rsid w:val="00255153"/>
    <w:rsid w:val="002600EB"/>
    <w:rsid w:val="00262115"/>
    <w:rsid w:val="0026786D"/>
    <w:rsid w:val="00271C48"/>
    <w:rsid w:val="00271E5A"/>
    <w:rsid w:val="00294F07"/>
    <w:rsid w:val="002B0598"/>
    <w:rsid w:val="002B4A58"/>
    <w:rsid w:val="002C2478"/>
    <w:rsid w:val="002E0527"/>
    <w:rsid w:val="00340EEB"/>
    <w:rsid w:val="00353C44"/>
    <w:rsid w:val="0037225F"/>
    <w:rsid w:val="00381F6C"/>
    <w:rsid w:val="00386577"/>
    <w:rsid w:val="00387D86"/>
    <w:rsid w:val="003A36D2"/>
    <w:rsid w:val="003B7642"/>
    <w:rsid w:val="003F1CB4"/>
    <w:rsid w:val="00430A39"/>
    <w:rsid w:val="00440445"/>
    <w:rsid w:val="00455887"/>
    <w:rsid w:val="004723A0"/>
    <w:rsid w:val="004736A1"/>
    <w:rsid w:val="00475520"/>
    <w:rsid w:val="00496138"/>
    <w:rsid w:val="004A0650"/>
    <w:rsid w:val="004B0D6C"/>
    <w:rsid w:val="004B2098"/>
    <w:rsid w:val="004D4804"/>
    <w:rsid w:val="004D5152"/>
    <w:rsid w:val="004D557E"/>
    <w:rsid w:val="005061E2"/>
    <w:rsid w:val="00507D19"/>
    <w:rsid w:val="00510EBF"/>
    <w:rsid w:val="00535A75"/>
    <w:rsid w:val="00542B07"/>
    <w:rsid w:val="00553CC9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3762E"/>
    <w:rsid w:val="006442A0"/>
    <w:rsid w:val="006515B9"/>
    <w:rsid w:val="00652C4F"/>
    <w:rsid w:val="006645D2"/>
    <w:rsid w:val="00665A3B"/>
    <w:rsid w:val="00674549"/>
    <w:rsid w:val="00685450"/>
    <w:rsid w:val="00692CA4"/>
    <w:rsid w:val="006B72B9"/>
    <w:rsid w:val="006D0EC0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A04EA"/>
    <w:rsid w:val="007B5145"/>
    <w:rsid w:val="007D1EFE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685F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09BF"/>
    <w:rsid w:val="0094622E"/>
    <w:rsid w:val="00946B79"/>
    <w:rsid w:val="00950217"/>
    <w:rsid w:val="00962AA6"/>
    <w:rsid w:val="00967F52"/>
    <w:rsid w:val="009A1E7E"/>
    <w:rsid w:val="009A4551"/>
    <w:rsid w:val="009A5F2A"/>
    <w:rsid w:val="009A60CF"/>
    <w:rsid w:val="009C2F46"/>
    <w:rsid w:val="009D0878"/>
    <w:rsid w:val="009D306E"/>
    <w:rsid w:val="009D5A41"/>
    <w:rsid w:val="009E5161"/>
    <w:rsid w:val="009E757D"/>
    <w:rsid w:val="009E7B83"/>
    <w:rsid w:val="00A01537"/>
    <w:rsid w:val="00A07044"/>
    <w:rsid w:val="00A31FA9"/>
    <w:rsid w:val="00A34B00"/>
    <w:rsid w:val="00A37AA0"/>
    <w:rsid w:val="00A40B7A"/>
    <w:rsid w:val="00A41BB2"/>
    <w:rsid w:val="00A7151B"/>
    <w:rsid w:val="00A73DB8"/>
    <w:rsid w:val="00A81D8D"/>
    <w:rsid w:val="00A8238C"/>
    <w:rsid w:val="00A86170"/>
    <w:rsid w:val="00A95E33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37EB7"/>
    <w:rsid w:val="00B5522A"/>
    <w:rsid w:val="00B8263C"/>
    <w:rsid w:val="00B9698F"/>
    <w:rsid w:val="00B9775E"/>
    <w:rsid w:val="00BA6C2F"/>
    <w:rsid w:val="00BB35A3"/>
    <w:rsid w:val="00BB53C6"/>
    <w:rsid w:val="00BC13B2"/>
    <w:rsid w:val="00BE4C5C"/>
    <w:rsid w:val="00BE6DE5"/>
    <w:rsid w:val="00BE7FD1"/>
    <w:rsid w:val="00C055EE"/>
    <w:rsid w:val="00C074CC"/>
    <w:rsid w:val="00C07E0B"/>
    <w:rsid w:val="00C10570"/>
    <w:rsid w:val="00C10ADC"/>
    <w:rsid w:val="00C24DE1"/>
    <w:rsid w:val="00C32124"/>
    <w:rsid w:val="00C5081D"/>
    <w:rsid w:val="00C608DA"/>
    <w:rsid w:val="00C72340"/>
    <w:rsid w:val="00C91118"/>
    <w:rsid w:val="00C92B05"/>
    <w:rsid w:val="00CA558D"/>
    <w:rsid w:val="00CA5B1A"/>
    <w:rsid w:val="00CB4611"/>
    <w:rsid w:val="00CC0E62"/>
    <w:rsid w:val="00CC7B05"/>
    <w:rsid w:val="00CD36CE"/>
    <w:rsid w:val="00CD4152"/>
    <w:rsid w:val="00CD7FA9"/>
    <w:rsid w:val="00CF53C4"/>
    <w:rsid w:val="00CF72F1"/>
    <w:rsid w:val="00D040D1"/>
    <w:rsid w:val="00D16426"/>
    <w:rsid w:val="00D325B6"/>
    <w:rsid w:val="00D34427"/>
    <w:rsid w:val="00D41F9E"/>
    <w:rsid w:val="00D568AD"/>
    <w:rsid w:val="00D56943"/>
    <w:rsid w:val="00D56EC4"/>
    <w:rsid w:val="00D70449"/>
    <w:rsid w:val="00D82ED0"/>
    <w:rsid w:val="00D84B02"/>
    <w:rsid w:val="00D87EE2"/>
    <w:rsid w:val="00D95101"/>
    <w:rsid w:val="00D96DDB"/>
    <w:rsid w:val="00DD2708"/>
    <w:rsid w:val="00DD30A7"/>
    <w:rsid w:val="00DD7C23"/>
    <w:rsid w:val="00DE6618"/>
    <w:rsid w:val="00DF5E7D"/>
    <w:rsid w:val="00E0246F"/>
    <w:rsid w:val="00E07E30"/>
    <w:rsid w:val="00E11A77"/>
    <w:rsid w:val="00E23948"/>
    <w:rsid w:val="00E301A8"/>
    <w:rsid w:val="00E66870"/>
    <w:rsid w:val="00EB2464"/>
    <w:rsid w:val="00EB3219"/>
    <w:rsid w:val="00EC3775"/>
    <w:rsid w:val="00EC3C55"/>
    <w:rsid w:val="00ED2FA1"/>
    <w:rsid w:val="00ED3FA3"/>
    <w:rsid w:val="00EE3188"/>
    <w:rsid w:val="00EE6BD3"/>
    <w:rsid w:val="00F243CE"/>
    <w:rsid w:val="00F34397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3</cp:revision>
  <cp:lastPrinted>2026-05-22T22:45:00Z</cp:lastPrinted>
  <dcterms:created xsi:type="dcterms:W3CDTF">2026-05-20T15:46:00Z</dcterms:created>
  <dcterms:modified xsi:type="dcterms:W3CDTF">2026-05-22T22:45:00Z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