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D04C6" w14:textId="2E4DB488" w:rsidR="00DD720C" w:rsidRDefault="00DD720C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74C4F24C" w14:textId="77777777" w:rsidR="002114A1" w:rsidRDefault="002114A1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328AB2F7" w14:textId="77777777" w:rsidR="002114A1" w:rsidRDefault="002114A1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45E4D7A2" w14:textId="77777777" w:rsidR="002114A1" w:rsidRPr="00732114" w:rsidRDefault="002114A1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482DE8F1" w14:textId="76A6C854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Info</w:t>
      </w:r>
      <w:r w:rsidR="001352BF">
        <w:rPr>
          <w:rFonts w:ascii="Verdana" w:hAnsi="Verdana" w:cs="Arial"/>
          <w:b/>
          <w:color w:val="002060"/>
          <w:sz w:val="48"/>
        </w:rPr>
        <w:t>rme de Ejecución Presupuestaria</w:t>
      </w:r>
    </w:p>
    <w:p w14:paraId="31542D2B" w14:textId="21ABEDFA" w:rsidR="00CB2A75" w:rsidRPr="00732114" w:rsidRDefault="00CB2A7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Viceministerio</w:t>
      </w:r>
      <w:r w:rsidR="00A11628" w:rsidRPr="00732114">
        <w:rPr>
          <w:rFonts w:ascii="Verdana" w:hAnsi="Verdana" w:cs="Arial"/>
          <w:b/>
          <w:color w:val="002060"/>
          <w:sz w:val="48"/>
        </w:rPr>
        <w:t xml:space="preserve"> de</w:t>
      </w:r>
    </w:p>
    <w:p w14:paraId="244E46E2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Inversión y Competencia</w:t>
      </w:r>
    </w:p>
    <w:p w14:paraId="6A022411" w14:textId="201220AD" w:rsidR="00AB38F5" w:rsidRPr="00732114" w:rsidRDefault="001272E6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>
        <w:rPr>
          <w:rFonts w:ascii="Verdana" w:hAnsi="Verdana" w:cs="Arial"/>
          <w:b/>
          <w:color w:val="002060"/>
          <w:sz w:val="48"/>
        </w:rPr>
        <w:t>Agosto</w:t>
      </w:r>
      <w:r w:rsidR="00AF64DC">
        <w:rPr>
          <w:rFonts w:ascii="Verdana" w:hAnsi="Verdana" w:cs="Arial"/>
          <w:b/>
          <w:color w:val="002060"/>
          <w:sz w:val="48"/>
        </w:rPr>
        <w:t xml:space="preserve"> 2026</w:t>
      </w:r>
    </w:p>
    <w:p w14:paraId="6F2E8374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6675ECD4" w14:textId="689D7365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B60D61C" w14:textId="4D02EA01" w:rsidR="009B035D" w:rsidRPr="00732114" w:rsidRDefault="009B035D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03D80FB2" w14:textId="77777777" w:rsidR="009B035D" w:rsidRPr="00732114" w:rsidRDefault="009B035D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2CAC618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681E880C" w14:textId="77777777" w:rsidR="00AB38F5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FED87AA" w14:textId="77777777" w:rsidR="00235A0B" w:rsidRDefault="00235A0B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32B680DC" w14:textId="77777777" w:rsidR="00235A0B" w:rsidRPr="00732114" w:rsidRDefault="00235A0B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5F1244B2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3846865C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Dirección Financiera</w:t>
      </w:r>
    </w:p>
    <w:p w14:paraId="049D36BE" w14:textId="77777777" w:rsidR="00AB38F5" w:rsidRPr="00732114" w:rsidRDefault="00AB38F5" w:rsidP="00AB38F5">
      <w:pPr>
        <w:jc w:val="center"/>
        <w:rPr>
          <w:rFonts w:ascii="Verdana" w:hAnsi="Verdana" w:cs="Arial"/>
          <w:b/>
          <w:sz w:val="48"/>
        </w:rPr>
      </w:pPr>
    </w:p>
    <w:p w14:paraId="3672AAFC" w14:textId="77777777" w:rsidR="002114A1" w:rsidRDefault="002114A1" w:rsidP="00AB38F5">
      <w:pPr>
        <w:jc w:val="center"/>
        <w:rPr>
          <w:rFonts w:ascii="Verdana" w:hAnsi="Verdana" w:cs="Arial"/>
          <w:b/>
          <w:lang w:val="es-MX"/>
        </w:rPr>
      </w:pPr>
    </w:p>
    <w:p w14:paraId="1348E8BF" w14:textId="77777777" w:rsidR="002114A1" w:rsidRDefault="002114A1" w:rsidP="00AB38F5">
      <w:pPr>
        <w:jc w:val="center"/>
        <w:rPr>
          <w:rFonts w:ascii="Verdana" w:hAnsi="Verdana" w:cs="Arial"/>
          <w:b/>
          <w:lang w:val="es-MX"/>
        </w:rPr>
      </w:pPr>
    </w:p>
    <w:p w14:paraId="5A53B11C" w14:textId="7731395D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57BE661F" w14:textId="788D0DF6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DEL VICEMINISTERIO DE INVERSIÓN Y COMPETENCIA</w:t>
      </w:r>
    </w:p>
    <w:p w14:paraId="3E60A321" w14:textId="3FE1C578" w:rsidR="00AB38F5" w:rsidRPr="00732114" w:rsidRDefault="00B3534F" w:rsidP="0069223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AGOSTO</w:t>
      </w:r>
      <w:r w:rsidR="003A3298">
        <w:rPr>
          <w:rFonts w:ascii="Verdana" w:hAnsi="Verdana" w:cs="Arial"/>
          <w:b/>
          <w:lang w:val="es-MX"/>
        </w:rPr>
        <w:t xml:space="preserve"> </w:t>
      </w:r>
      <w:r w:rsidR="00AF64DC">
        <w:rPr>
          <w:rFonts w:ascii="Verdana" w:hAnsi="Verdana" w:cs="Arial"/>
          <w:b/>
          <w:lang w:val="es-MX"/>
        </w:rPr>
        <w:t>2026</w:t>
      </w:r>
    </w:p>
    <w:p w14:paraId="1C5F0A19" w14:textId="77777777" w:rsidR="00AB38F5" w:rsidRPr="00732114" w:rsidRDefault="00AB38F5" w:rsidP="00AB38F5">
      <w:pPr>
        <w:rPr>
          <w:rFonts w:ascii="Verdana" w:hAnsi="Verdana" w:cs="Arial"/>
          <w:b/>
          <w:lang w:val="es-MX"/>
        </w:rPr>
      </w:pPr>
    </w:p>
    <w:p w14:paraId="05132426" w14:textId="1E6E3BDC" w:rsidR="00AB38F5" w:rsidRPr="00732114" w:rsidRDefault="00322962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 xml:space="preserve">El Viceministerio a través de sus 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dependencia</w:t>
      </w:r>
      <w:r>
        <w:rPr>
          <w:rFonts w:ascii="Verdana" w:eastAsia="Calibri" w:hAnsi="Verdana" w:cs="Arial"/>
          <w:szCs w:val="24"/>
          <w:lang w:val="es-MX" w:eastAsia="en-US"/>
        </w:rPr>
        <w:t>s,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se encarga </w:t>
      </w:r>
      <w:r w:rsidR="00AE7BBF">
        <w:rPr>
          <w:rFonts w:ascii="Verdana" w:eastAsia="Calibri" w:hAnsi="Verdana" w:cs="Arial"/>
          <w:szCs w:val="24"/>
          <w:lang w:val="es-MX" w:eastAsia="en-US"/>
        </w:rPr>
        <w:t>de</w:t>
      </w:r>
      <w:r w:rsidR="005537AE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AE7BBF">
        <w:rPr>
          <w:rFonts w:ascii="Verdana" w:eastAsia="Calibri" w:hAnsi="Verdana" w:cs="Arial"/>
          <w:szCs w:val="24"/>
          <w:lang w:val="es-MX" w:eastAsia="en-US"/>
        </w:rPr>
        <w:t xml:space="preserve">la </w:t>
      </w:r>
      <w:r w:rsidR="005537AE">
        <w:rPr>
          <w:rFonts w:ascii="Verdana" w:eastAsia="Calibri" w:hAnsi="Verdana" w:cs="Arial"/>
          <w:szCs w:val="24"/>
          <w:lang w:val="es-MX" w:eastAsia="en-US"/>
        </w:rPr>
        <w:t>coordinación</w:t>
      </w:r>
      <w:r w:rsidR="00AE7BBF">
        <w:rPr>
          <w:rFonts w:ascii="Verdana" w:eastAsia="Calibri" w:hAnsi="Verdana" w:cs="Arial"/>
          <w:szCs w:val="24"/>
          <w:lang w:val="es-MX" w:eastAsia="en-US"/>
        </w:rPr>
        <w:t xml:space="preserve"> y gestión administrativa</w:t>
      </w:r>
      <w:r w:rsidR="005537AE">
        <w:rPr>
          <w:rFonts w:ascii="Verdana" w:eastAsia="Calibri" w:hAnsi="Verdana" w:cs="Arial"/>
          <w:szCs w:val="24"/>
          <w:lang w:val="es-MX" w:eastAsia="en-US"/>
        </w:rPr>
        <w:t xml:space="preserve"> de los programas de inversión y competencia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230B4A">
        <w:rPr>
          <w:rFonts w:ascii="Verdana" w:eastAsia="Calibri" w:hAnsi="Verdana" w:cs="Arial"/>
          <w:szCs w:val="24"/>
          <w:lang w:val="es-MX" w:eastAsia="en-US"/>
        </w:rPr>
        <w:t>en materia asistencia al consumidor, reglamentación congruente con tratados y acuerdos comerciales, incentivos de inversión</w:t>
      </w:r>
      <w:r w:rsidR="00AE7BBF">
        <w:rPr>
          <w:rFonts w:ascii="Verdana" w:eastAsia="Calibri" w:hAnsi="Verdana" w:cs="Arial"/>
          <w:szCs w:val="24"/>
          <w:lang w:val="es-MX" w:eastAsia="en-US"/>
        </w:rPr>
        <w:t>, facilitar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información</w:t>
      </w:r>
      <w:r w:rsidR="00AE7BBF">
        <w:rPr>
          <w:rFonts w:ascii="Verdana" w:eastAsia="Calibri" w:hAnsi="Verdana" w:cs="Arial"/>
          <w:szCs w:val="24"/>
          <w:lang w:val="es-MX" w:eastAsia="en-US"/>
        </w:rPr>
        <w:t xml:space="preserve"> de acceso a los mercados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a </w:t>
      </w:r>
      <w:r w:rsidR="00AE7BBF">
        <w:rPr>
          <w:rFonts w:ascii="Verdana" w:eastAsia="Calibri" w:hAnsi="Verdana" w:cs="Arial"/>
          <w:szCs w:val="24"/>
          <w:lang w:val="es-MX" w:eastAsia="en-US"/>
        </w:rPr>
        <w:t>los exportadores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, promover la competencia nacional, </w:t>
      </w:r>
      <w:r w:rsidR="00AE7BBF">
        <w:rPr>
          <w:rFonts w:ascii="Verdana" w:eastAsia="Calibri" w:hAnsi="Verdana" w:cs="Arial"/>
          <w:szCs w:val="24"/>
          <w:lang w:val="es-MX" w:eastAsia="en-US"/>
        </w:rPr>
        <w:t>y otras acciones dentro de su jurisdicción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.</w:t>
      </w:r>
    </w:p>
    <w:p w14:paraId="4A5E68B9" w14:textId="77777777" w:rsidR="00AB38F5" w:rsidRPr="00732114" w:rsidRDefault="00AB38F5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2E44D69" w14:textId="1AF49EE4" w:rsidR="00AB38F5" w:rsidRPr="00732114" w:rsidRDefault="00AE7BBF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>Este organismo es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el encargado de ejecutar uno de los programas estratégicos de Gobierno</w:t>
      </w:r>
      <w:r w:rsidR="00B316E3">
        <w:rPr>
          <w:rFonts w:ascii="Verdana" w:eastAsia="Calibri" w:hAnsi="Verdana" w:cs="Arial"/>
          <w:szCs w:val="24"/>
          <w:lang w:val="es-MX" w:eastAsia="en-US"/>
        </w:rPr>
        <w:t xml:space="preserve">, el cual lleva por nombre </w:t>
      </w:r>
      <w:r>
        <w:rPr>
          <w:rFonts w:ascii="Verdana" w:eastAsia="Calibri" w:hAnsi="Verdana" w:cs="Arial"/>
          <w:szCs w:val="24"/>
          <w:lang w:val="es-MX" w:eastAsia="en-US"/>
        </w:rPr>
        <w:t>“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Apoyo al Incremento de la Competitividad</w:t>
      </w:r>
      <w:r>
        <w:rPr>
          <w:rFonts w:ascii="Verdana" w:eastAsia="Calibri" w:hAnsi="Verdana" w:cs="Arial"/>
          <w:szCs w:val="24"/>
          <w:lang w:val="es-MX" w:eastAsia="en-US"/>
        </w:rPr>
        <w:t>”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, </w:t>
      </w:r>
      <w:r w:rsidR="00B316E3">
        <w:rPr>
          <w:rFonts w:ascii="Verdana" w:eastAsia="Calibri" w:hAnsi="Verdana" w:cs="Arial"/>
          <w:szCs w:val="24"/>
          <w:lang w:val="es-MX" w:eastAsia="en-US"/>
        </w:rPr>
        <w:t>que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busca aumentar la inscripción de títulos de propiedad intelectual y personas individuales y jurídicas que desarrollen actividades mercantiles.</w:t>
      </w:r>
    </w:p>
    <w:p w14:paraId="2B7A8492" w14:textId="77777777" w:rsidR="00AB38F5" w:rsidRPr="00732114" w:rsidRDefault="00AB38F5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E675DEF" w14:textId="7DA969DB" w:rsidR="00AB38F5" w:rsidRDefault="00CE3B77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 xml:space="preserve">Se asigna al Viceministerio </w:t>
      </w:r>
      <w:r w:rsidR="00B316E3">
        <w:rPr>
          <w:rFonts w:ascii="Verdana" w:eastAsia="Calibri" w:hAnsi="Verdana" w:cs="Arial"/>
          <w:szCs w:val="24"/>
          <w:lang w:val="es-MX" w:eastAsia="en-US"/>
        </w:rPr>
        <w:t xml:space="preserve">un 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presupuesto</w:t>
      </w:r>
      <w:r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de </w:t>
      </w:r>
      <w:r w:rsidR="00B316E3">
        <w:rPr>
          <w:rFonts w:ascii="Verdana" w:eastAsia="Calibri" w:hAnsi="Verdana" w:cs="Arial"/>
          <w:b/>
          <w:szCs w:val="24"/>
          <w:lang w:val="es-MX" w:eastAsia="en-US"/>
        </w:rPr>
        <w:t>Q9</w:t>
      </w:r>
      <w:r w:rsidR="00AF64DC">
        <w:rPr>
          <w:rFonts w:ascii="Verdana" w:eastAsia="Calibri" w:hAnsi="Verdana" w:cs="Arial"/>
          <w:b/>
          <w:szCs w:val="24"/>
          <w:lang w:val="es-MX" w:eastAsia="en-US"/>
        </w:rPr>
        <w:t>0,181,522.00</w:t>
      </w:r>
      <w:r w:rsidR="006B3B0D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AB38F5" w:rsidRPr="00732114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B316E3">
        <w:rPr>
          <w:rFonts w:ascii="Verdana" w:eastAsia="Calibri" w:hAnsi="Verdana" w:cs="Arial"/>
          <w:szCs w:val="24"/>
          <w:lang w:val="es-MX" w:eastAsia="en-US"/>
        </w:rPr>
        <w:t>el cual se modifica</w:t>
      </w:r>
      <w:r>
        <w:rPr>
          <w:rFonts w:ascii="Verdana" w:eastAsia="Calibri" w:hAnsi="Verdana" w:cs="Arial"/>
          <w:szCs w:val="24"/>
          <w:lang w:val="es-MX" w:eastAsia="en-US"/>
        </w:rPr>
        <w:t xml:space="preserve"> en </w:t>
      </w:r>
      <w:r w:rsidR="006B3B0D" w:rsidRPr="00F3241F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626E05">
        <w:rPr>
          <w:rFonts w:ascii="Verdana" w:eastAsia="Calibri" w:hAnsi="Verdana" w:cs="Arial"/>
          <w:b/>
          <w:szCs w:val="24"/>
          <w:lang w:val="es-MX" w:eastAsia="en-US"/>
        </w:rPr>
        <w:t>2,386,964</w:t>
      </w:r>
      <w:r w:rsidR="00AF64DC">
        <w:rPr>
          <w:rFonts w:ascii="Verdana" w:eastAsia="Calibri" w:hAnsi="Verdana" w:cs="Arial"/>
          <w:b/>
          <w:szCs w:val="24"/>
          <w:lang w:val="es-MX" w:eastAsia="en-US"/>
        </w:rPr>
        <w:t>.00</w:t>
      </w:r>
      <w:r>
        <w:rPr>
          <w:rFonts w:ascii="Verdana" w:eastAsia="Calibri" w:hAnsi="Verdana" w:cs="Arial"/>
          <w:szCs w:val="24"/>
          <w:lang w:val="es-MX" w:eastAsia="en-US"/>
        </w:rPr>
        <w:t>,</w:t>
      </w:r>
      <w:r w:rsidR="006B3B0D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quedando </w:t>
      </w:r>
      <w:r>
        <w:rPr>
          <w:rFonts w:ascii="Verdana" w:eastAsia="Calibri" w:hAnsi="Verdana" w:cs="Arial"/>
          <w:szCs w:val="24"/>
          <w:lang w:val="es-MX" w:eastAsia="en-US"/>
        </w:rPr>
        <w:t>un</w:t>
      </w:r>
      <w:r w:rsidR="00FD7D6E">
        <w:rPr>
          <w:rFonts w:ascii="Verdana" w:eastAsia="Calibri" w:hAnsi="Verdana" w:cs="Arial"/>
          <w:szCs w:val="24"/>
          <w:lang w:val="es-MX" w:eastAsia="en-US"/>
        </w:rPr>
        <w:t xml:space="preserve"> presupuesto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 vigente</w:t>
      </w:r>
      <w:r w:rsidR="00FD7D6E">
        <w:rPr>
          <w:rFonts w:ascii="Verdana" w:eastAsia="Calibri" w:hAnsi="Verdana" w:cs="Arial"/>
          <w:szCs w:val="24"/>
          <w:lang w:val="es-MX" w:eastAsia="en-US"/>
        </w:rPr>
        <w:t xml:space="preserve"> de </w:t>
      </w:r>
      <w:r w:rsidR="00FD7D6E" w:rsidRPr="00C84850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AF64DC">
        <w:rPr>
          <w:rFonts w:ascii="Verdana" w:eastAsia="Calibri" w:hAnsi="Verdana" w:cs="Arial"/>
          <w:b/>
          <w:szCs w:val="24"/>
          <w:lang w:val="es-MX" w:eastAsia="en-US"/>
        </w:rPr>
        <w:t>9</w:t>
      </w:r>
      <w:r w:rsidR="00626E05">
        <w:rPr>
          <w:rFonts w:ascii="Verdana" w:eastAsia="Calibri" w:hAnsi="Verdana" w:cs="Arial"/>
          <w:b/>
          <w:szCs w:val="24"/>
          <w:lang w:val="es-MX" w:eastAsia="en-US"/>
        </w:rPr>
        <w:t>2,568,486</w:t>
      </w:r>
      <w:r w:rsidR="00657B56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FD7D6E">
        <w:rPr>
          <w:rFonts w:ascii="Verdana" w:eastAsia="Calibri" w:hAnsi="Verdana" w:cs="Arial"/>
          <w:szCs w:val="24"/>
          <w:lang w:val="es-MX" w:eastAsia="en-US"/>
        </w:rPr>
        <w:t xml:space="preserve">, </w:t>
      </w:r>
      <w:r w:rsidR="00F3241F">
        <w:rPr>
          <w:rFonts w:ascii="Verdana" w:eastAsia="Calibri" w:hAnsi="Verdana" w:cs="Arial"/>
          <w:szCs w:val="24"/>
          <w:lang w:val="es-MX" w:eastAsia="en-US"/>
        </w:rPr>
        <w:t>del que se ejecut</w:t>
      </w:r>
      <w:r w:rsidR="00B8189B">
        <w:rPr>
          <w:rFonts w:ascii="Verdana" w:eastAsia="Calibri" w:hAnsi="Verdana" w:cs="Arial"/>
          <w:szCs w:val="24"/>
          <w:lang w:val="es-MX" w:eastAsia="en-US"/>
        </w:rPr>
        <w:t>ó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 un acumulado de</w:t>
      </w:r>
      <w:r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3A3298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253426">
        <w:rPr>
          <w:rFonts w:ascii="Verdana" w:eastAsia="Calibri" w:hAnsi="Verdana" w:cs="Arial"/>
          <w:b/>
          <w:szCs w:val="24"/>
          <w:lang w:val="es-MX" w:eastAsia="en-US"/>
        </w:rPr>
        <w:t>48,361,639.</w:t>
      </w:r>
      <w:r w:rsidR="00A02091">
        <w:rPr>
          <w:rFonts w:ascii="Verdana" w:eastAsia="Calibri" w:hAnsi="Verdana" w:cs="Arial"/>
          <w:b/>
          <w:szCs w:val="24"/>
          <w:lang w:val="es-MX" w:eastAsia="en-US"/>
        </w:rPr>
        <w:t>6</w:t>
      </w:r>
      <w:r w:rsidR="00253426">
        <w:rPr>
          <w:rFonts w:ascii="Verdana" w:eastAsia="Calibri" w:hAnsi="Verdana" w:cs="Arial"/>
          <w:b/>
          <w:szCs w:val="24"/>
          <w:lang w:val="es-MX" w:eastAsia="en-US"/>
        </w:rPr>
        <w:t>0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, equivalente al </w:t>
      </w:r>
      <w:r w:rsidR="00253426">
        <w:rPr>
          <w:rFonts w:ascii="Verdana" w:eastAsia="Calibri" w:hAnsi="Verdana" w:cs="Arial"/>
          <w:b/>
          <w:szCs w:val="24"/>
          <w:lang w:val="es-MX" w:eastAsia="en-US"/>
        </w:rPr>
        <w:t>52.24</w:t>
      </w:r>
      <w:r w:rsidRPr="00E76CDB">
        <w:rPr>
          <w:rFonts w:ascii="Verdana" w:eastAsia="Calibri" w:hAnsi="Verdana" w:cs="Arial"/>
          <w:b/>
          <w:szCs w:val="24"/>
          <w:lang w:val="es-MX" w:eastAsia="en-US"/>
        </w:rPr>
        <w:t>%</w:t>
      </w:r>
      <w:r w:rsidR="00657B56">
        <w:rPr>
          <w:rFonts w:ascii="Verdana" w:eastAsia="Calibri" w:hAnsi="Verdana" w:cs="Arial"/>
          <w:szCs w:val="24"/>
          <w:lang w:val="es-MX" w:eastAsia="en-US"/>
        </w:rPr>
        <w:t>.</w:t>
      </w:r>
    </w:p>
    <w:p w14:paraId="674EE214" w14:textId="77777777" w:rsidR="0018564E" w:rsidRPr="00732114" w:rsidRDefault="0018564E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4E8B5A56" w14:textId="471F1AAE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Gráfica No. 1</w:t>
      </w:r>
    </w:p>
    <w:p w14:paraId="0F4F60C7" w14:textId="7EC3294A" w:rsidR="00C64308" w:rsidRPr="00732114" w:rsidRDefault="00C64308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Viceministerio de Inversión y Competencia</w:t>
      </w:r>
    </w:p>
    <w:p w14:paraId="53157E24" w14:textId="02C2E5E8" w:rsidR="00AB38F5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Ejecución Presupuestaria</w:t>
      </w:r>
    </w:p>
    <w:p w14:paraId="227581AB" w14:textId="6E48B667" w:rsidR="00C05F6F" w:rsidRDefault="00253426" w:rsidP="00AB38F5">
      <w:pPr>
        <w:jc w:val="center"/>
        <w:rPr>
          <w:rFonts w:ascii="Verdana" w:hAnsi="Verdana" w:cs="Arial"/>
          <w:b/>
          <w:lang w:val="es-MX"/>
        </w:rPr>
      </w:pPr>
      <w:r>
        <w:rPr>
          <w:noProof/>
          <w:lang w:eastAsia="es-GT"/>
        </w:rPr>
        <w:drawing>
          <wp:inline distT="0" distB="0" distL="0" distR="0" wp14:anchorId="768A7172" wp14:editId="3F6FF8B9">
            <wp:extent cx="4848225" cy="2736850"/>
            <wp:effectExtent l="0" t="0" r="9525" b="635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C6CBD9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0B5DD0AF" w14:textId="77777777" w:rsidR="00253426" w:rsidRDefault="00253426" w:rsidP="00A02091">
      <w:pPr>
        <w:rPr>
          <w:rFonts w:ascii="Verdana" w:hAnsi="Verdana" w:cs="Arial"/>
          <w:b/>
          <w:sz w:val="14"/>
          <w:lang w:val="es-MX"/>
        </w:rPr>
      </w:pPr>
    </w:p>
    <w:p w14:paraId="739B3573" w14:textId="69DEF86E" w:rsidR="00657B56" w:rsidRPr="00D92FDF" w:rsidRDefault="00275CAA" w:rsidP="00D92FDF">
      <w:pPr>
        <w:rPr>
          <w:rFonts w:ascii="Verdana" w:hAnsi="Verdana" w:cs="Arial"/>
          <w:b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Pr="006014DF">
        <w:rPr>
          <w:rFonts w:ascii="Verdana" w:hAnsi="Verdana" w:cs="Arial"/>
          <w:sz w:val="14"/>
          <w:lang w:val="es-MX"/>
        </w:rPr>
        <w:t xml:space="preserve">) </w:t>
      </w:r>
      <w:r w:rsidR="00B3534F">
        <w:rPr>
          <w:rFonts w:ascii="Verdana" w:hAnsi="Verdana" w:cs="Arial"/>
          <w:sz w:val="14"/>
          <w:lang w:val="es-MX"/>
        </w:rPr>
        <w:t>01</w:t>
      </w:r>
      <w:r w:rsidR="00657B56">
        <w:rPr>
          <w:rFonts w:ascii="Verdana" w:hAnsi="Verdana" w:cs="Arial"/>
          <w:sz w:val="14"/>
          <w:lang w:val="es-MX"/>
        </w:rPr>
        <w:t>/0</w:t>
      </w:r>
      <w:r w:rsidR="00B3534F">
        <w:rPr>
          <w:rFonts w:ascii="Verdana" w:hAnsi="Verdana" w:cs="Arial"/>
          <w:sz w:val="14"/>
          <w:lang w:val="es-MX"/>
        </w:rPr>
        <w:t>9</w:t>
      </w:r>
      <w:r w:rsidR="00657B56">
        <w:rPr>
          <w:rFonts w:ascii="Verdana" w:hAnsi="Verdana" w:cs="Arial"/>
          <w:sz w:val="14"/>
          <w:lang w:val="es-MX"/>
        </w:rPr>
        <w:t>/2026</w:t>
      </w:r>
    </w:p>
    <w:p w14:paraId="584F3688" w14:textId="77777777" w:rsidR="00657B56" w:rsidRPr="00AC73B4" w:rsidRDefault="00657B56" w:rsidP="000A5516">
      <w:pPr>
        <w:jc w:val="both"/>
        <w:rPr>
          <w:rFonts w:ascii="Verdana" w:hAnsi="Verdana" w:cs="Arial"/>
          <w:color w:val="000000" w:themeColor="text1"/>
          <w:sz w:val="16"/>
        </w:rPr>
      </w:pPr>
    </w:p>
    <w:p w14:paraId="2C0A3969" w14:textId="6B01BE83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Gráfica No. 2</w:t>
      </w:r>
    </w:p>
    <w:p w14:paraId="454A9EC5" w14:textId="213D46C4" w:rsidR="00C64308" w:rsidRPr="00732114" w:rsidRDefault="00253426" w:rsidP="00AB38F5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noProof/>
          <w:sz w:val="14"/>
          <w:lang w:eastAsia="es-GT"/>
        </w:rPr>
        <w:drawing>
          <wp:anchor distT="0" distB="0" distL="114300" distR="114300" simplePos="0" relativeHeight="251664384" behindDoc="0" locked="0" layoutInCell="1" allowOverlap="1" wp14:anchorId="24A317C9" wp14:editId="1EE92AC1">
            <wp:simplePos x="0" y="0"/>
            <wp:positionH relativeFrom="page">
              <wp:posOffset>800100</wp:posOffset>
            </wp:positionH>
            <wp:positionV relativeFrom="paragraph">
              <wp:posOffset>231140</wp:posOffset>
            </wp:positionV>
            <wp:extent cx="6349365" cy="3124200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312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308" w:rsidRPr="00732114">
        <w:rPr>
          <w:rFonts w:ascii="Verdana" w:hAnsi="Verdana" w:cs="Arial"/>
          <w:b/>
          <w:lang w:val="es-MX"/>
        </w:rPr>
        <w:t>Viceministerio de Inversión y Competencia</w:t>
      </w:r>
    </w:p>
    <w:p w14:paraId="5A76623C" w14:textId="77777777" w:rsidR="00253426" w:rsidRDefault="00253426" w:rsidP="00AB38F5">
      <w:pPr>
        <w:jc w:val="center"/>
        <w:rPr>
          <w:rFonts w:ascii="Verdana" w:hAnsi="Verdana" w:cs="Arial"/>
          <w:b/>
          <w:lang w:val="es-MX"/>
        </w:rPr>
      </w:pPr>
    </w:p>
    <w:p w14:paraId="292F8AC1" w14:textId="77777777" w:rsidR="00E855B0" w:rsidRDefault="00E855B0" w:rsidP="00EC06B3">
      <w:pPr>
        <w:jc w:val="center"/>
        <w:rPr>
          <w:rFonts w:ascii="Verdana" w:hAnsi="Verdana" w:cs="Arial"/>
          <w:b/>
          <w:lang w:val="es-MX"/>
        </w:rPr>
      </w:pPr>
    </w:p>
    <w:p w14:paraId="06310D24" w14:textId="2CD2AC7A" w:rsidR="00EC06B3" w:rsidRDefault="00EC06B3" w:rsidP="00EC06B3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Cuadro No. 1</w:t>
      </w:r>
    </w:p>
    <w:p w14:paraId="55CD6E79" w14:textId="3BDC1C28" w:rsidR="00A0115B" w:rsidRDefault="00A0115B" w:rsidP="00AB38F5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Viceministerio</w:t>
      </w:r>
      <w:r>
        <w:rPr>
          <w:rFonts w:ascii="Verdana" w:hAnsi="Verdana" w:cs="Arial"/>
          <w:b/>
          <w:lang w:val="es-MX"/>
        </w:rPr>
        <w:t xml:space="preserve"> </w:t>
      </w:r>
      <w:r w:rsidRPr="00732114">
        <w:rPr>
          <w:rFonts w:ascii="Verdana" w:hAnsi="Verdana" w:cs="Arial"/>
          <w:b/>
          <w:lang w:val="es-MX"/>
        </w:rPr>
        <w:t>de Inversión y Competencia</w:t>
      </w:r>
    </w:p>
    <w:p w14:paraId="1F494BCF" w14:textId="7CFD99B7" w:rsidR="00AB38F5" w:rsidRDefault="00765F95" w:rsidP="00AB38F5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presupuesto</w:t>
      </w:r>
      <w:r w:rsidR="002802F9">
        <w:rPr>
          <w:rFonts w:ascii="Verdana" w:hAnsi="Verdana" w:cs="Arial"/>
          <w:b/>
          <w:lang w:val="es-MX"/>
        </w:rPr>
        <w:t xml:space="preserve"> por grupo de gasto</w:t>
      </w:r>
    </w:p>
    <w:p w14:paraId="64C58396" w14:textId="547FFDA9" w:rsidR="00FF65A6" w:rsidRDefault="00E855B0" w:rsidP="00FF65A6">
      <w:pPr>
        <w:rPr>
          <w:rFonts w:ascii="Verdana" w:hAnsi="Verdana" w:cs="Arial"/>
          <w:b/>
          <w:sz w:val="14"/>
          <w:lang w:val="es-MX"/>
        </w:rPr>
      </w:pPr>
      <w:r w:rsidRPr="00E855B0">
        <w:drawing>
          <wp:anchor distT="0" distB="0" distL="114300" distR="114300" simplePos="0" relativeHeight="251665408" behindDoc="0" locked="0" layoutInCell="1" allowOverlap="1" wp14:anchorId="1BCDAA79" wp14:editId="1648A866">
            <wp:simplePos x="0" y="0"/>
            <wp:positionH relativeFrom="margin">
              <wp:align>center</wp:align>
            </wp:positionH>
            <wp:positionV relativeFrom="paragraph">
              <wp:posOffset>132080</wp:posOffset>
            </wp:positionV>
            <wp:extent cx="6057900" cy="2114550"/>
            <wp:effectExtent l="0" t="0" r="0" b="0"/>
            <wp:wrapThrough wrapText="bothSides">
              <wp:wrapPolygon edited="0">
                <wp:start x="0" y="0"/>
                <wp:lineTo x="0" y="21405"/>
                <wp:lineTo x="21532" y="21405"/>
                <wp:lineTo x="21532" y="0"/>
                <wp:lineTo x="0" y="0"/>
              </wp:wrapPolygon>
            </wp:wrapThrough>
            <wp:docPr id="68749619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93096A8" w14:textId="57BEF9BF" w:rsidR="00E14E66" w:rsidRDefault="00E14E66" w:rsidP="00FF65A6">
      <w:pPr>
        <w:rPr>
          <w:rFonts w:ascii="Verdana" w:hAnsi="Verdana" w:cs="Arial"/>
          <w:b/>
          <w:sz w:val="14"/>
          <w:lang w:val="es-MX"/>
        </w:rPr>
      </w:pPr>
    </w:p>
    <w:p w14:paraId="3038598E" w14:textId="1AE6AE8B" w:rsidR="00AF64DC" w:rsidRPr="000A5516" w:rsidRDefault="00AF64DC" w:rsidP="00AF64DC">
      <w:pPr>
        <w:rPr>
          <w:rFonts w:ascii="Verdana" w:hAnsi="Verdana" w:cs="Arial"/>
          <w:b/>
          <w:sz w:val="14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Pr="006014DF">
        <w:rPr>
          <w:rFonts w:ascii="Verdana" w:hAnsi="Verdana" w:cs="Arial"/>
          <w:sz w:val="14"/>
          <w:lang w:val="es-MX"/>
        </w:rPr>
        <w:t>)</w:t>
      </w:r>
      <w:r w:rsidR="00B3534F">
        <w:rPr>
          <w:rFonts w:ascii="Verdana" w:hAnsi="Verdana" w:cs="Arial"/>
          <w:sz w:val="14"/>
          <w:lang w:val="es-MX"/>
        </w:rPr>
        <w:t xml:space="preserve"> 01</w:t>
      </w:r>
      <w:r w:rsidR="00657B56">
        <w:rPr>
          <w:rFonts w:ascii="Verdana" w:hAnsi="Verdana" w:cs="Arial"/>
          <w:sz w:val="14"/>
          <w:lang w:val="es-MX"/>
        </w:rPr>
        <w:t>/0</w:t>
      </w:r>
      <w:r w:rsidR="00B3534F">
        <w:rPr>
          <w:rFonts w:ascii="Verdana" w:hAnsi="Verdana" w:cs="Arial"/>
          <w:sz w:val="14"/>
          <w:lang w:val="es-MX"/>
        </w:rPr>
        <w:t>9</w:t>
      </w:r>
      <w:r w:rsidR="00657B56">
        <w:rPr>
          <w:rFonts w:ascii="Verdana" w:hAnsi="Verdana" w:cs="Arial"/>
          <w:sz w:val="14"/>
          <w:lang w:val="es-MX"/>
        </w:rPr>
        <w:t>/2026</w:t>
      </w:r>
    </w:p>
    <w:p w14:paraId="0640C60F" w14:textId="05BCB8B6" w:rsidR="00CB633B" w:rsidRDefault="00CB633B" w:rsidP="00AB38F5">
      <w:pPr>
        <w:jc w:val="both"/>
        <w:rPr>
          <w:rFonts w:ascii="Verdana" w:hAnsi="Verdana" w:cs="Arial"/>
          <w:lang w:val="es-MX"/>
        </w:rPr>
      </w:pPr>
    </w:p>
    <w:p w14:paraId="795339E1" w14:textId="40EE7325" w:rsidR="00AB38F5" w:rsidRDefault="00F15F27" w:rsidP="00AB38F5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>El Cu</w:t>
      </w:r>
      <w:r w:rsidR="001046A7">
        <w:rPr>
          <w:rFonts w:ascii="Verdana" w:hAnsi="Verdana" w:cs="Arial"/>
          <w:lang w:val="es-MX"/>
        </w:rPr>
        <w:t xml:space="preserve">adro </w:t>
      </w:r>
      <w:r w:rsidR="00D92FDF">
        <w:rPr>
          <w:rFonts w:ascii="Verdana" w:hAnsi="Verdana" w:cs="Arial"/>
          <w:kern w:val="0"/>
          <w:lang w:val="es-MX"/>
          <w14:ligatures w14:val="none"/>
        </w:rPr>
        <w:t>No. 2</w:t>
      </w:r>
      <w:r w:rsidR="008940CC">
        <w:rPr>
          <w:rFonts w:ascii="Verdana" w:hAnsi="Verdana" w:cs="Arial"/>
          <w:kern w:val="0"/>
          <w:lang w:val="es-MX"/>
          <w14:ligatures w14:val="none"/>
        </w:rPr>
        <w:t xml:space="preserve"> </w:t>
      </w:r>
      <w:r w:rsidR="001046A7">
        <w:rPr>
          <w:rFonts w:ascii="Verdana" w:hAnsi="Verdana" w:cs="Arial"/>
          <w:lang w:val="es-MX"/>
        </w:rPr>
        <w:t xml:space="preserve">presenta </w:t>
      </w:r>
      <w:r w:rsidR="005F5695" w:rsidRPr="00732114">
        <w:rPr>
          <w:rFonts w:ascii="Verdana" w:hAnsi="Verdana" w:cs="Arial"/>
          <w:lang w:val="es-MX"/>
        </w:rPr>
        <w:t>la ejecución presupuestaria</w:t>
      </w:r>
      <w:r w:rsidR="00A06E45">
        <w:rPr>
          <w:rFonts w:ascii="Verdana" w:hAnsi="Verdana" w:cs="Arial"/>
          <w:lang w:val="es-MX"/>
        </w:rPr>
        <w:t xml:space="preserve"> acumulada</w:t>
      </w:r>
      <w:r w:rsidR="005F5695" w:rsidRPr="00732114">
        <w:rPr>
          <w:rFonts w:ascii="Verdana" w:hAnsi="Verdana" w:cs="Arial"/>
          <w:lang w:val="es-MX"/>
        </w:rPr>
        <w:t xml:space="preserve"> de </w:t>
      </w:r>
      <w:r w:rsidR="00AB38F5" w:rsidRPr="00732114">
        <w:rPr>
          <w:rFonts w:ascii="Verdana" w:hAnsi="Verdana" w:cs="Arial"/>
          <w:lang w:val="es-MX"/>
        </w:rPr>
        <w:t>los gastos</w:t>
      </w:r>
      <w:r w:rsidR="001046A7">
        <w:rPr>
          <w:rFonts w:ascii="Verdana" w:hAnsi="Verdana" w:cs="Arial"/>
          <w:lang w:val="es-MX"/>
        </w:rPr>
        <w:t xml:space="preserve"> erogados</w:t>
      </w:r>
      <w:r w:rsidR="00AB38F5" w:rsidRPr="00732114">
        <w:rPr>
          <w:rFonts w:ascii="Verdana" w:hAnsi="Verdana" w:cs="Arial"/>
          <w:lang w:val="es-MX"/>
        </w:rPr>
        <w:t xml:space="preserve"> </w:t>
      </w:r>
      <w:r w:rsidR="001046A7">
        <w:rPr>
          <w:rFonts w:ascii="Verdana" w:hAnsi="Verdana" w:cs="Arial"/>
          <w:lang w:val="es-MX"/>
        </w:rPr>
        <w:t>por</w:t>
      </w:r>
      <w:r w:rsidR="00AB38F5" w:rsidRPr="00732114">
        <w:rPr>
          <w:rFonts w:ascii="Verdana" w:hAnsi="Verdana" w:cs="Arial"/>
          <w:lang w:val="es-MX"/>
        </w:rPr>
        <w:t xml:space="preserve"> dependencias </w:t>
      </w:r>
      <w:r w:rsidR="00765F95">
        <w:rPr>
          <w:rFonts w:ascii="Verdana" w:hAnsi="Verdana" w:cs="Arial"/>
          <w:lang w:val="es-MX"/>
        </w:rPr>
        <w:t>y tipo de gasto, los cuales</w:t>
      </w:r>
      <w:r w:rsidR="00AB38F5" w:rsidRPr="00732114">
        <w:rPr>
          <w:rFonts w:ascii="Verdana" w:hAnsi="Verdana" w:cs="Arial"/>
          <w:lang w:val="es-MX"/>
        </w:rPr>
        <w:t xml:space="preserve"> </w:t>
      </w:r>
      <w:r w:rsidR="001046A7">
        <w:rPr>
          <w:rFonts w:ascii="Verdana" w:hAnsi="Verdana" w:cs="Arial"/>
          <w:lang w:val="es-MX"/>
        </w:rPr>
        <w:t xml:space="preserve">contemplan </w:t>
      </w:r>
      <w:r w:rsidR="00765F95">
        <w:rPr>
          <w:rFonts w:ascii="Verdana" w:hAnsi="Verdana" w:cs="Arial"/>
          <w:lang w:val="es-MX"/>
        </w:rPr>
        <w:t>pago de nómina, servicios y compras de bienes y suministros.</w:t>
      </w:r>
    </w:p>
    <w:p w14:paraId="08E076FC" w14:textId="0E3C49BB" w:rsidR="00AB38F5" w:rsidRPr="00732114" w:rsidRDefault="00D92FDF" w:rsidP="00AB38F5">
      <w:pPr>
        <w:ind w:left="2832" w:firstLine="708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lastRenderedPageBreak/>
        <w:t>Cuadro No. 2</w:t>
      </w:r>
    </w:p>
    <w:p w14:paraId="264159F8" w14:textId="65538780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Viceministerio de Inversión y Competencia</w:t>
      </w:r>
    </w:p>
    <w:p w14:paraId="05E9B40A" w14:textId="2C3BF6D2" w:rsidR="00F810AA" w:rsidRDefault="00765F95" w:rsidP="00EF54E7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</w:t>
      </w:r>
      <w:r w:rsidR="00AB38F5" w:rsidRPr="00732114">
        <w:rPr>
          <w:rFonts w:ascii="Verdana" w:hAnsi="Verdana" w:cs="Arial"/>
          <w:b/>
          <w:lang w:val="es-MX"/>
        </w:rPr>
        <w:t>resupuesto</w:t>
      </w:r>
      <w:r>
        <w:rPr>
          <w:rFonts w:ascii="Verdana" w:hAnsi="Verdana" w:cs="Arial"/>
          <w:b/>
          <w:lang w:val="es-MX"/>
        </w:rPr>
        <w:t xml:space="preserve"> por d</w:t>
      </w:r>
      <w:r w:rsidR="005C61BD" w:rsidRPr="00732114">
        <w:rPr>
          <w:rFonts w:ascii="Verdana" w:hAnsi="Verdana" w:cs="Arial"/>
          <w:b/>
          <w:lang w:val="es-MX"/>
        </w:rPr>
        <w:t>ependencias y</w:t>
      </w:r>
      <w:r w:rsidR="00EF54E7">
        <w:rPr>
          <w:rFonts w:ascii="Verdana" w:hAnsi="Verdana" w:cs="Arial"/>
          <w:b/>
          <w:lang w:val="es-MX"/>
        </w:rPr>
        <w:t xml:space="preserve"> grupo de gasto</w:t>
      </w:r>
    </w:p>
    <w:p w14:paraId="17601B4B" w14:textId="24D0593F" w:rsidR="00E855B0" w:rsidRDefault="00E855B0" w:rsidP="00EF54E7">
      <w:pPr>
        <w:jc w:val="center"/>
        <w:rPr>
          <w:rFonts w:ascii="Verdana" w:hAnsi="Verdana" w:cs="Arial"/>
          <w:b/>
          <w:lang w:val="es-MX"/>
        </w:rPr>
      </w:pPr>
      <w:r w:rsidRPr="00E855B0">
        <w:drawing>
          <wp:inline distT="0" distB="0" distL="0" distR="0" wp14:anchorId="36717077" wp14:editId="39FF39CE">
            <wp:extent cx="5934075" cy="7019925"/>
            <wp:effectExtent l="19050" t="19050" r="28575" b="28575"/>
            <wp:docPr id="119265403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019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1BA2D0" w14:textId="26700725" w:rsidR="00D92FDF" w:rsidRPr="00E855B0" w:rsidRDefault="00D92FDF" w:rsidP="00EF54E7">
      <w:pPr>
        <w:jc w:val="center"/>
        <w:rPr>
          <w:rFonts w:ascii="Verdana" w:hAnsi="Verdana" w:cs="Arial"/>
          <w:b/>
          <w:sz w:val="16"/>
          <w:szCs w:val="16"/>
          <w:lang w:val="es-MX"/>
        </w:rPr>
      </w:pPr>
    </w:p>
    <w:p w14:paraId="71F3AE92" w14:textId="3A19AA8A" w:rsidR="00AB38F5" w:rsidRPr="00732114" w:rsidRDefault="00AF64DC" w:rsidP="00E855B0">
      <w:pPr>
        <w:rPr>
          <w:rFonts w:ascii="Verdana" w:hAnsi="Verdana" w:cs="Arial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="005D45C9">
        <w:rPr>
          <w:rFonts w:ascii="Verdana" w:hAnsi="Verdana" w:cs="Arial"/>
          <w:sz w:val="14"/>
          <w:lang w:val="es-MX"/>
        </w:rPr>
        <w:t xml:space="preserve">) </w:t>
      </w:r>
      <w:r w:rsidR="00B3534F">
        <w:rPr>
          <w:rFonts w:ascii="Verdana" w:hAnsi="Verdana" w:cs="Arial"/>
          <w:sz w:val="14"/>
          <w:lang w:val="es-MX"/>
        </w:rPr>
        <w:t>0</w:t>
      </w:r>
      <w:r w:rsidR="00CB633B">
        <w:rPr>
          <w:rFonts w:ascii="Verdana" w:hAnsi="Verdana" w:cs="Arial"/>
          <w:sz w:val="14"/>
          <w:lang w:val="es-MX"/>
        </w:rPr>
        <w:t>1</w:t>
      </w:r>
      <w:r w:rsidR="00657B56">
        <w:rPr>
          <w:rFonts w:ascii="Verdana" w:hAnsi="Verdana" w:cs="Arial"/>
          <w:sz w:val="14"/>
          <w:lang w:val="es-MX"/>
        </w:rPr>
        <w:t>/0</w:t>
      </w:r>
      <w:r w:rsidR="00B3534F">
        <w:rPr>
          <w:rFonts w:ascii="Verdana" w:hAnsi="Verdana" w:cs="Arial"/>
          <w:sz w:val="14"/>
          <w:lang w:val="es-MX"/>
        </w:rPr>
        <w:t>9</w:t>
      </w:r>
      <w:r w:rsidR="00657B56">
        <w:rPr>
          <w:rFonts w:ascii="Verdana" w:hAnsi="Verdana" w:cs="Arial"/>
          <w:sz w:val="14"/>
          <w:lang w:val="es-MX"/>
        </w:rPr>
        <w:t>/2026</w:t>
      </w:r>
      <w:r w:rsidR="00E855B0">
        <w:rPr>
          <w:rFonts w:ascii="Verdana" w:hAnsi="Verdana" w:cs="Arial"/>
          <w:sz w:val="14"/>
          <w:lang w:val="es-MX"/>
        </w:rPr>
        <w:t xml:space="preserve">   </w:t>
      </w:r>
      <w:r w:rsidR="00E14E66">
        <w:rPr>
          <w:rFonts w:ascii="Verdana" w:hAnsi="Verdana" w:cs="Arial"/>
          <w:lang w:val="es-MX"/>
        </w:rPr>
        <w:br w:type="page"/>
      </w:r>
    </w:p>
    <w:p w14:paraId="133942D2" w14:textId="32A66AB3" w:rsidR="00E01E7B" w:rsidRPr="009F29D4" w:rsidRDefault="00D92FDF" w:rsidP="00E01E7B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lastRenderedPageBreak/>
        <w:t>Cuadro No. 3</w:t>
      </w:r>
    </w:p>
    <w:p w14:paraId="16C51AFA" w14:textId="76D2D20C" w:rsidR="00E01E7B" w:rsidRPr="009F29D4" w:rsidRDefault="00E01E7B" w:rsidP="00E01E7B">
      <w:pPr>
        <w:jc w:val="center"/>
        <w:rPr>
          <w:rFonts w:ascii="Verdana" w:hAnsi="Verdana" w:cs="Arial"/>
          <w:b/>
          <w:lang w:val="es-MX"/>
        </w:rPr>
      </w:pPr>
      <w:r w:rsidRPr="009F29D4">
        <w:rPr>
          <w:rFonts w:ascii="Verdana" w:hAnsi="Verdana" w:cs="Arial"/>
          <w:b/>
          <w:lang w:val="es-MX"/>
        </w:rPr>
        <w:t>Viceministerio de Inversión y Competencia</w:t>
      </w:r>
    </w:p>
    <w:p w14:paraId="22A8B480" w14:textId="77777777" w:rsidR="00E01E7B" w:rsidRPr="00A37F48" w:rsidRDefault="00E01E7B" w:rsidP="00E01E7B">
      <w:pPr>
        <w:jc w:val="center"/>
        <w:rPr>
          <w:rFonts w:ascii="Verdana" w:hAnsi="Verdana" w:cs="Arial"/>
          <w:b/>
          <w:lang w:val="es-MX"/>
        </w:rPr>
      </w:pPr>
      <w:r w:rsidRPr="009F29D4">
        <w:rPr>
          <w:rFonts w:ascii="Verdana" w:hAnsi="Verdana" w:cs="Arial"/>
          <w:b/>
          <w:lang w:val="es-MX"/>
        </w:rPr>
        <w:t>Informe de Ejecución de Cuota Financiera</w:t>
      </w:r>
    </w:p>
    <w:p w14:paraId="69156365" w14:textId="31260F98" w:rsidR="00E01E7B" w:rsidRDefault="00EF54E7" w:rsidP="00AB38F5">
      <w:pPr>
        <w:jc w:val="both"/>
        <w:rPr>
          <w:rFonts w:ascii="Verdana" w:hAnsi="Verdana" w:cs="Arial"/>
          <w:lang w:val="es-MX"/>
        </w:rPr>
      </w:pPr>
      <w:r w:rsidRPr="00EF54E7">
        <w:rPr>
          <w:noProof/>
          <w:lang w:eastAsia="es-GT"/>
        </w:rPr>
        <w:drawing>
          <wp:anchor distT="0" distB="0" distL="114300" distR="114300" simplePos="0" relativeHeight="251662336" behindDoc="0" locked="0" layoutInCell="1" allowOverlap="1" wp14:anchorId="1B37EAE4" wp14:editId="1C310872">
            <wp:simplePos x="0" y="0"/>
            <wp:positionH relativeFrom="margin">
              <wp:align>center</wp:align>
            </wp:positionH>
            <wp:positionV relativeFrom="paragraph">
              <wp:posOffset>233680</wp:posOffset>
            </wp:positionV>
            <wp:extent cx="6077585" cy="5047912"/>
            <wp:effectExtent l="0" t="0" r="0" b="63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585" cy="504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F13D76" w14:textId="699FC3C3" w:rsidR="00AC4097" w:rsidRDefault="00AC4097" w:rsidP="00AB38F5">
      <w:pPr>
        <w:jc w:val="both"/>
        <w:rPr>
          <w:rFonts w:ascii="Verdana" w:hAnsi="Verdana" w:cs="Arial"/>
          <w:lang w:val="es-MX"/>
        </w:rPr>
      </w:pPr>
    </w:p>
    <w:p w14:paraId="0DBA47E8" w14:textId="71C089CA" w:rsidR="00AF64DC" w:rsidRPr="00AC73B4" w:rsidRDefault="00AF64DC" w:rsidP="00D92FDF">
      <w:pPr>
        <w:tabs>
          <w:tab w:val="left" w:pos="3330"/>
        </w:tabs>
        <w:rPr>
          <w:rFonts w:ascii="Verdana" w:hAnsi="Verdana" w:cs="Arial"/>
          <w:color w:val="000000" w:themeColor="text1"/>
          <w:sz w:val="16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Pr="006014DF">
        <w:rPr>
          <w:rFonts w:ascii="Verdana" w:hAnsi="Verdana" w:cs="Arial"/>
          <w:sz w:val="14"/>
          <w:lang w:val="es-MX"/>
        </w:rPr>
        <w:t xml:space="preserve">) </w:t>
      </w:r>
      <w:r w:rsidR="00B3534F">
        <w:rPr>
          <w:rFonts w:ascii="Verdana" w:hAnsi="Verdana" w:cs="Arial"/>
          <w:sz w:val="14"/>
          <w:lang w:val="es-MX"/>
        </w:rPr>
        <w:t>01/09</w:t>
      </w:r>
      <w:r w:rsidR="00657B56">
        <w:rPr>
          <w:rFonts w:ascii="Verdana" w:hAnsi="Verdana" w:cs="Arial"/>
          <w:sz w:val="14"/>
          <w:lang w:val="es-MX"/>
        </w:rPr>
        <w:t>/2026</w:t>
      </w:r>
    </w:p>
    <w:p w14:paraId="798970AB" w14:textId="77777777" w:rsidR="0018564E" w:rsidRDefault="0018564E" w:rsidP="0018564E">
      <w:pPr>
        <w:jc w:val="both"/>
        <w:rPr>
          <w:rFonts w:ascii="Verdana" w:hAnsi="Verdana" w:cs="Arial"/>
          <w:lang w:val="es-MX"/>
        </w:rPr>
      </w:pPr>
    </w:p>
    <w:p w14:paraId="42C0E161" w14:textId="38F66369" w:rsidR="00AB38F5" w:rsidRPr="009F4AAC" w:rsidRDefault="0018564E" w:rsidP="0018564E">
      <w:pPr>
        <w:jc w:val="both"/>
        <w:rPr>
          <w:rFonts w:ascii="Verdana" w:hAnsi="Verdana" w:cs="Arial"/>
          <w:color w:val="000000" w:themeColor="text1"/>
          <w:sz w:val="16"/>
        </w:rPr>
      </w:pPr>
      <w:r>
        <w:rPr>
          <w:rFonts w:ascii="Verdana" w:hAnsi="Verdana" w:cs="Arial"/>
          <w:lang w:val="es-MX"/>
        </w:rPr>
        <w:t xml:space="preserve">El Cuadro </w:t>
      </w:r>
      <w:r>
        <w:rPr>
          <w:rFonts w:ascii="Verdana" w:hAnsi="Verdana" w:cs="Arial"/>
          <w:kern w:val="0"/>
          <w:lang w:val="es-MX"/>
          <w14:ligatures w14:val="none"/>
        </w:rPr>
        <w:t xml:space="preserve">No. 3 </w:t>
      </w:r>
      <w:r w:rsidRPr="00732114">
        <w:rPr>
          <w:rFonts w:ascii="Verdana" w:hAnsi="Verdana" w:cs="Arial"/>
          <w:lang w:val="es-MX"/>
        </w:rPr>
        <w:t>deta</w:t>
      </w:r>
      <w:r>
        <w:rPr>
          <w:rFonts w:ascii="Verdana" w:hAnsi="Verdana" w:cs="Arial"/>
          <w:lang w:val="es-MX"/>
        </w:rPr>
        <w:t>lla el comportamiento de</w:t>
      </w:r>
      <w:r w:rsidRPr="00732114">
        <w:rPr>
          <w:rFonts w:ascii="Verdana" w:hAnsi="Verdana" w:cs="Arial"/>
          <w:lang w:val="es-MX"/>
        </w:rPr>
        <w:t xml:space="preserve"> las cuotas financieras</w:t>
      </w:r>
      <w:r>
        <w:rPr>
          <w:rFonts w:ascii="Verdana" w:hAnsi="Verdana" w:cs="Arial"/>
          <w:lang w:val="es-MX"/>
        </w:rPr>
        <w:t xml:space="preserve"> acumuladas solicitadas y utilizadas</w:t>
      </w:r>
      <w:r w:rsidRPr="00732114">
        <w:rPr>
          <w:rFonts w:ascii="Verdana" w:hAnsi="Verdana" w:cs="Arial"/>
          <w:lang w:val="es-MX"/>
        </w:rPr>
        <w:t xml:space="preserve"> por las</w:t>
      </w:r>
      <w:r>
        <w:rPr>
          <w:rFonts w:ascii="Verdana" w:hAnsi="Verdana" w:cs="Arial"/>
          <w:lang w:val="es-MX"/>
        </w:rPr>
        <w:t xml:space="preserve"> unidades ejecutoras adscritas al Viceministerio, según las distintas fuentes de financiamiento y grupos de gasto.</w:t>
      </w:r>
      <w:r w:rsidRPr="009F4AAC">
        <w:rPr>
          <w:rFonts w:ascii="Verdana" w:hAnsi="Verdana" w:cs="Arial"/>
          <w:color w:val="000000" w:themeColor="text1"/>
          <w:sz w:val="16"/>
        </w:rPr>
        <w:t xml:space="preserve"> </w:t>
      </w:r>
    </w:p>
    <w:sectPr w:rsidR="00AB38F5" w:rsidRPr="009F4AAC" w:rsidSect="002114A1">
      <w:headerReference w:type="default" r:id="rId12"/>
      <w:footerReference w:type="default" r:id="rId13"/>
      <w:pgSz w:w="12240" w:h="15840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8C08" w14:textId="77777777" w:rsidR="000327E7" w:rsidRDefault="000327E7" w:rsidP="00950217">
      <w:r>
        <w:separator/>
      </w:r>
    </w:p>
  </w:endnote>
  <w:endnote w:type="continuationSeparator" w:id="0">
    <w:p w14:paraId="4CC5E491" w14:textId="77777777" w:rsidR="000327E7" w:rsidRDefault="000327E7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1189" w14:textId="0B1D01B9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181949046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E7BD2" w14:textId="77777777" w:rsidR="000327E7" w:rsidRDefault="000327E7" w:rsidP="00950217">
      <w:r>
        <w:separator/>
      </w:r>
    </w:p>
  </w:footnote>
  <w:footnote w:type="continuationSeparator" w:id="0">
    <w:p w14:paraId="70850174" w14:textId="77777777" w:rsidR="000327E7" w:rsidRDefault="000327E7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99DC" w14:textId="636D1C2E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6BDEEEAB" wp14:editId="7708F97A">
          <wp:simplePos x="0" y="0"/>
          <wp:positionH relativeFrom="page">
            <wp:posOffset>0</wp:posOffset>
          </wp:positionH>
          <wp:positionV relativeFrom="paragraph">
            <wp:posOffset>-414655</wp:posOffset>
          </wp:positionV>
          <wp:extent cx="7753350" cy="1283452"/>
          <wp:effectExtent l="0" t="0" r="0" b="0"/>
          <wp:wrapNone/>
          <wp:docPr id="2142734071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17"/>
    <w:rsid w:val="000029B4"/>
    <w:rsid w:val="00015989"/>
    <w:rsid w:val="000327E7"/>
    <w:rsid w:val="00035A0E"/>
    <w:rsid w:val="00040299"/>
    <w:rsid w:val="000526C2"/>
    <w:rsid w:val="00062442"/>
    <w:rsid w:val="000638DF"/>
    <w:rsid w:val="000A506E"/>
    <w:rsid w:val="000A5516"/>
    <w:rsid w:val="000B3D99"/>
    <w:rsid w:val="000D75DA"/>
    <w:rsid w:val="000E43D2"/>
    <w:rsid w:val="000F6B0C"/>
    <w:rsid w:val="00100102"/>
    <w:rsid w:val="001046A7"/>
    <w:rsid w:val="00116CA6"/>
    <w:rsid w:val="001272E6"/>
    <w:rsid w:val="001352BF"/>
    <w:rsid w:val="00142F8F"/>
    <w:rsid w:val="00155BCB"/>
    <w:rsid w:val="00166D19"/>
    <w:rsid w:val="001769F7"/>
    <w:rsid w:val="00183A5B"/>
    <w:rsid w:val="0018564E"/>
    <w:rsid w:val="001913DA"/>
    <w:rsid w:val="001939B6"/>
    <w:rsid w:val="001952E8"/>
    <w:rsid w:val="001A23E1"/>
    <w:rsid w:val="001A5286"/>
    <w:rsid w:val="001B245F"/>
    <w:rsid w:val="001B4703"/>
    <w:rsid w:val="001C28E1"/>
    <w:rsid w:val="00210269"/>
    <w:rsid w:val="002114A1"/>
    <w:rsid w:val="002204FB"/>
    <w:rsid w:val="00230B4A"/>
    <w:rsid w:val="00235A0B"/>
    <w:rsid w:val="0024654A"/>
    <w:rsid w:val="00253426"/>
    <w:rsid w:val="00262645"/>
    <w:rsid w:val="0027175D"/>
    <w:rsid w:val="0027426F"/>
    <w:rsid w:val="00275CAA"/>
    <w:rsid w:val="002802F9"/>
    <w:rsid w:val="002A35F6"/>
    <w:rsid w:val="002A561E"/>
    <w:rsid w:val="002A7104"/>
    <w:rsid w:val="002C2478"/>
    <w:rsid w:val="002C38CB"/>
    <w:rsid w:val="002E52C2"/>
    <w:rsid w:val="002F17ED"/>
    <w:rsid w:val="00313F7D"/>
    <w:rsid w:val="00314DB8"/>
    <w:rsid w:val="00322962"/>
    <w:rsid w:val="0037225F"/>
    <w:rsid w:val="00383F4B"/>
    <w:rsid w:val="003974CA"/>
    <w:rsid w:val="003A3298"/>
    <w:rsid w:val="003F03A3"/>
    <w:rsid w:val="003F54EC"/>
    <w:rsid w:val="00441015"/>
    <w:rsid w:val="00473FE8"/>
    <w:rsid w:val="00487AF3"/>
    <w:rsid w:val="004D43EC"/>
    <w:rsid w:val="004D5152"/>
    <w:rsid w:val="00507D19"/>
    <w:rsid w:val="005537AE"/>
    <w:rsid w:val="00593C7D"/>
    <w:rsid w:val="0059682B"/>
    <w:rsid w:val="005A4D35"/>
    <w:rsid w:val="005B479F"/>
    <w:rsid w:val="005C4EEB"/>
    <w:rsid w:val="005C61BD"/>
    <w:rsid w:val="005C7CF2"/>
    <w:rsid w:val="005D45C9"/>
    <w:rsid w:val="005E2E7E"/>
    <w:rsid w:val="005F5695"/>
    <w:rsid w:val="00607F76"/>
    <w:rsid w:val="006141AA"/>
    <w:rsid w:val="006167A2"/>
    <w:rsid w:val="006240FE"/>
    <w:rsid w:val="00626E05"/>
    <w:rsid w:val="00657B56"/>
    <w:rsid w:val="0069223A"/>
    <w:rsid w:val="00693BAC"/>
    <w:rsid w:val="006B3B0D"/>
    <w:rsid w:val="006C4A2F"/>
    <w:rsid w:val="006E1C78"/>
    <w:rsid w:val="006E32FB"/>
    <w:rsid w:val="006E79D6"/>
    <w:rsid w:val="006F15AF"/>
    <w:rsid w:val="0071329B"/>
    <w:rsid w:val="00732114"/>
    <w:rsid w:val="00733A93"/>
    <w:rsid w:val="007627BC"/>
    <w:rsid w:val="00765F95"/>
    <w:rsid w:val="00782E25"/>
    <w:rsid w:val="007C4B5E"/>
    <w:rsid w:val="008075F3"/>
    <w:rsid w:val="008221C5"/>
    <w:rsid w:val="008254BC"/>
    <w:rsid w:val="00870270"/>
    <w:rsid w:val="008723E7"/>
    <w:rsid w:val="00891D77"/>
    <w:rsid w:val="008940CC"/>
    <w:rsid w:val="008973EC"/>
    <w:rsid w:val="008A58DA"/>
    <w:rsid w:val="008B726B"/>
    <w:rsid w:val="008C26DE"/>
    <w:rsid w:val="008E47E2"/>
    <w:rsid w:val="0090788B"/>
    <w:rsid w:val="00913529"/>
    <w:rsid w:val="00927BDC"/>
    <w:rsid w:val="00950217"/>
    <w:rsid w:val="009571B6"/>
    <w:rsid w:val="009754CE"/>
    <w:rsid w:val="0098631B"/>
    <w:rsid w:val="009B035D"/>
    <w:rsid w:val="009C40EB"/>
    <w:rsid w:val="009C4B97"/>
    <w:rsid w:val="009E1F4C"/>
    <w:rsid w:val="009E5161"/>
    <w:rsid w:val="009F1326"/>
    <w:rsid w:val="009F202C"/>
    <w:rsid w:val="009F29D4"/>
    <w:rsid w:val="009F4AAC"/>
    <w:rsid w:val="009F6A1D"/>
    <w:rsid w:val="009F7CFB"/>
    <w:rsid w:val="00A0115B"/>
    <w:rsid w:val="00A02091"/>
    <w:rsid w:val="00A020F8"/>
    <w:rsid w:val="00A03420"/>
    <w:rsid w:val="00A0542B"/>
    <w:rsid w:val="00A06E45"/>
    <w:rsid w:val="00A07044"/>
    <w:rsid w:val="00A11628"/>
    <w:rsid w:val="00A16CCB"/>
    <w:rsid w:val="00A222A9"/>
    <w:rsid w:val="00A23B89"/>
    <w:rsid w:val="00A34B00"/>
    <w:rsid w:val="00A37F48"/>
    <w:rsid w:val="00A41EF0"/>
    <w:rsid w:val="00A57D2A"/>
    <w:rsid w:val="00A878F3"/>
    <w:rsid w:val="00AA7042"/>
    <w:rsid w:val="00AB38F5"/>
    <w:rsid w:val="00AB3E39"/>
    <w:rsid w:val="00AB3EA8"/>
    <w:rsid w:val="00AC4097"/>
    <w:rsid w:val="00AC73B4"/>
    <w:rsid w:val="00AD5319"/>
    <w:rsid w:val="00AE59AB"/>
    <w:rsid w:val="00AE7BBF"/>
    <w:rsid w:val="00AF64DC"/>
    <w:rsid w:val="00B23175"/>
    <w:rsid w:val="00B316E3"/>
    <w:rsid w:val="00B3534F"/>
    <w:rsid w:val="00B35ED2"/>
    <w:rsid w:val="00B559C3"/>
    <w:rsid w:val="00B55A30"/>
    <w:rsid w:val="00B60E91"/>
    <w:rsid w:val="00B8189B"/>
    <w:rsid w:val="00B9700C"/>
    <w:rsid w:val="00BB35A3"/>
    <w:rsid w:val="00BE03A8"/>
    <w:rsid w:val="00BE2420"/>
    <w:rsid w:val="00BE4C5C"/>
    <w:rsid w:val="00BE4DD6"/>
    <w:rsid w:val="00BE6DE5"/>
    <w:rsid w:val="00BF205D"/>
    <w:rsid w:val="00BF2700"/>
    <w:rsid w:val="00C00ECC"/>
    <w:rsid w:val="00C05F6F"/>
    <w:rsid w:val="00C07E0B"/>
    <w:rsid w:val="00C44CFA"/>
    <w:rsid w:val="00C64308"/>
    <w:rsid w:val="00C72F67"/>
    <w:rsid w:val="00C804C4"/>
    <w:rsid w:val="00C80E64"/>
    <w:rsid w:val="00C90417"/>
    <w:rsid w:val="00C93DDB"/>
    <w:rsid w:val="00CB25CE"/>
    <w:rsid w:val="00CB2A75"/>
    <w:rsid w:val="00CB633B"/>
    <w:rsid w:val="00CC6BD9"/>
    <w:rsid w:val="00CC7AC2"/>
    <w:rsid w:val="00CD15FB"/>
    <w:rsid w:val="00CD40D1"/>
    <w:rsid w:val="00CE3B77"/>
    <w:rsid w:val="00CF26E5"/>
    <w:rsid w:val="00CF2ACD"/>
    <w:rsid w:val="00CF72F1"/>
    <w:rsid w:val="00D266EB"/>
    <w:rsid w:val="00D26DFE"/>
    <w:rsid w:val="00D3280B"/>
    <w:rsid w:val="00D51DA9"/>
    <w:rsid w:val="00D61975"/>
    <w:rsid w:val="00D806CC"/>
    <w:rsid w:val="00D80E99"/>
    <w:rsid w:val="00D92FDF"/>
    <w:rsid w:val="00DA4F9A"/>
    <w:rsid w:val="00DA6525"/>
    <w:rsid w:val="00DB1796"/>
    <w:rsid w:val="00DB42CA"/>
    <w:rsid w:val="00DD49D8"/>
    <w:rsid w:val="00DD720C"/>
    <w:rsid w:val="00DE0516"/>
    <w:rsid w:val="00DE37ED"/>
    <w:rsid w:val="00E01E7B"/>
    <w:rsid w:val="00E07DC6"/>
    <w:rsid w:val="00E14E66"/>
    <w:rsid w:val="00E2087B"/>
    <w:rsid w:val="00E21A0D"/>
    <w:rsid w:val="00E2784E"/>
    <w:rsid w:val="00E301A8"/>
    <w:rsid w:val="00E31251"/>
    <w:rsid w:val="00E40F53"/>
    <w:rsid w:val="00E42F0A"/>
    <w:rsid w:val="00E669E0"/>
    <w:rsid w:val="00E76CDB"/>
    <w:rsid w:val="00E855B0"/>
    <w:rsid w:val="00EB2464"/>
    <w:rsid w:val="00EC06B3"/>
    <w:rsid w:val="00ED2FA1"/>
    <w:rsid w:val="00EE2B1A"/>
    <w:rsid w:val="00EF05FE"/>
    <w:rsid w:val="00EF54E7"/>
    <w:rsid w:val="00F15F27"/>
    <w:rsid w:val="00F27518"/>
    <w:rsid w:val="00F3183C"/>
    <w:rsid w:val="00F3241F"/>
    <w:rsid w:val="00F352F6"/>
    <w:rsid w:val="00F61D80"/>
    <w:rsid w:val="00F7732C"/>
    <w:rsid w:val="00F77369"/>
    <w:rsid w:val="00F810AA"/>
    <w:rsid w:val="00F8626B"/>
    <w:rsid w:val="00F919AF"/>
    <w:rsid w:val="00F93906"/>
    <w:rsid w:val="00FB2180"/>
    <w:rsid w:val="00FB3BBA"/>
    <w:rsid w:val="00FB4425"/>
    <w:rsid w:val="00FC6F68"/>
    <w:rsid w:val="00FD0745"/>
    <w:rsid w:val="00FD4214"/>
    <w:rsid w:val="00FD7D6E"/>
    <w:rsid w:val="00FF65A6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62ED2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B38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AB38F5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B38F5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75CA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75CA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75CA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45C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45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sanchezl\Desktop\Informe%20excel%20Viceministro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0020058887531004"/>
          <c:y val="7.4245939675174011E-2"/>
          <c:w val="0.44674989300207807"/>
          <c:h val="0.79140033249904085"/>
        </c:manualLayout>
      </c:layout>
      <c:pieChart>
        <c:varyColors val="1"/>
        <c:ser>
          <c:idx val="0"/>
          <c:order val="0"/>
          <c:explosion val="4"/>
          <c:dPt>
            <c:idx val="0"/>
            <c:bubble3D val="0"/>
            <c:spPr>
              <a:solidFill>
                <a:schemeClr val="accent1">
                  <a:shade val="7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658-4445-A478-EC1E5C302B7C}"/>
              </c:ext>
            </c:extLst>
          </c:dPt>
          <c:dPt>
            <c:idx val="1"/>
            <c:bubble3D val="0"/>
            <c:spPr>
              <a:solidFill>
                <a:schemeClr val="accent1">
                  <a:tint val="77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658-4445-A478-EC1E5C302B7C}"/>
              </c:ext>
            </c:extLst>
          </c:dPt>
          <c:dLbls>
            <c:dLbl>
              <c:idx val="0"/>
              <c:layout>
                <c:manualLayout>
                  <c:x val="-0.18097613043949073"/>
                  <c:y val="-2.9501068746917076E-3"/>
                </c:manualLayout>
              </c:layout>
              <c:tx>
                <c:rich>
                  <a:bodyPr/>
                  <a:lstStyle/>
                  <a:p>
                    <a:fld id="{7686D46B-E0F1-4520-BEE5-3DC97F48ABCC}" type="CATEGORYNAME">
                      <a:rPr lang="en-US">
                        <a:solidFill>
                          <a:schemeClr val="bg1"/>
                        </a:solidFill>
                      </a:rPr>
                      <a:pPr/>
                      <a:t>[NOMBRE DE CATEGORÍA]</a:t>
                    </a:fld>
                    <a:r>
                      <a:rPr lang="en-US" baseline="0">
                        <a:solidFill>
                          <a:schemeClr val="bg1"/>
                        </a:solidFill>
                      </a:rPr>
                      <a:t>
</a:t>
                    </a:r>
                    <a:fld id="{D3856FE0-BA3C-4DEF-A224-4CAFB668BC18}" type="PERCENTAGE">
                      <a:rPr lang="en-US" baseline="0">
                        <a:solidFill>
                          <a:schemeClr val="bg1"/>
                        </a:solidFill>
                      </a:rPr>
                      <a:pPr/>
                      <a:t>[PORCENTAJE]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658-4445-A478-EC1E5C302B7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Inversion!$H$3:$I$3</c:f>
              <c:strCache>
                <c:ptCount val="2"/>
                <c:pt idx="0">
                  <c:v>Devengado </c:v>
                </c:pt>
                <c:pt idx="1">
                  <c:v>Saldo por devengar </c:v>
                </c:pt>
              </c:strCache>
            </c:strRef>
          </c:cat>
          <c:val>
            <c:numRef>
              <c:f>Inversion!$H$4:$I$4</c:f>
              <c:numCache>
                <c:formatCode>_(* #,##0.00_);_(* \(#,##0.00\);_(* "-"??_);_(@_)</c:formatCode>
                <c:ptCount val="2"/>
                <c:pt idx="0">
                  <c:v>48361639.600000001</c:v>
                </c:pt>
                <c:pt idx="1">
                  <c:v>44206846.399999999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658-4445-A478-EC1E5C302B7C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8DAD4-1B74-455D-8192-DF98D3FDD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 arrivillaga</dc:creator>
  <cp:lastModifiedBy>Jaime René Hernández Porras</cp:lastModifiedBy>
  <cp:revision>3</cp:revision>
  <cp:lastPrinted>2026-09-08T00:49:00Z</cp:lastPrinted>
  <dcterms:created xsi:type="dcterms:W3CDTF">2026-09-03T22:29:00Z</dcterms:created>
  <dcterms:modified xsi:type="dcterms:W3CDTF">2026-09-08T00:49:00Z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