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38687878" w:rsidR="00AD3E1C" w:rsidRPr="00C608DA" w:rsidRDefault="004D557E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Enero</w:t>
      </w:r>
      <w:r w:rsidR="00D56943">
        <w:rPr>
          <w:rFonts w:ascii="Verdana" w:hAnsi="Verdana" w:cs="Arial"/>
          <w:b/>
          <w:color w:val="002060"/>
          <w:sz w:val="48"/>
        </w:rPr>
        <w:t xml:space="preserve"> 202</w:t>
      </w:r>
      <w:r>
        <w:rPr>
          <w:rFonts w:ascii="Verdana" w:hAnsi="Verdana" w:cs="Arial"/>
          <w:b/>
          <w:color w:val="002060"/>
          <w:sz w:val="48"/>
        </w:rPr>
        <w:t>6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5C807E1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09C03D42" w:rsidR="00AD3E1C" w:rsidRPr="00C608DA" w:rsidRDefault="004D557E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ENERO 2026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5CB1F2FA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7E1A99D4"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C3915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18,428.00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103,576,355.00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CE1FF2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52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77777777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0C8DF8E0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34159A59" w14:textId="032027B9" w:rsidR="00AD3E1C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2A7BEB94" w14:textId="29137B34" w:rsidR="00A95E33" w:rsidRPr="00C608DA" w:rsidRDefault="00CE1FF2" w:rsidP="00DE6618">
      <w:pPr>
        <w:jc w:val="center"/>
        <w:rPr>
          <w:rFonts w:ascii="Verdana" w:hAnsi="Verdana" w:cs="Arial"/>
          <w:b/>
          <w:lang w:val="es-MX"/>
        </w:rPr>
      </w:pPr>
      <w:r>
        <w:rPr>
          <w:noProof/>
        </w:rPr>
        <w:drawing>
          <wp:inline distT="0" distB="0" distL="0" distR="0" wp14:anchorId="6B6A312F" wp14:editId="12A2F359">
            <wp:extent cx="3492038" cy="2984269"/>
            <wp:effectExtent l="0" t="0" r="13335" b="6985"/>
            <wp:docPr id="14652519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BF9DAF" w14:textId="1D37F054" w:rsidR="00D82ED0" w:rsidRPr="004D557E" w:rsidRDefault="008611F7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4B2098" w:rsidRPr="006014DF">
        <w:rPr>
          <w:rFonts w:ascii="Verdana" w:hAnsi="Verdana" w:cs="Arial"/>
          <w:b/>
          <w:sz w:val="14"/>
          <w:lang w:val="es-MX"/>
        </w:rPr>
        <w:t>Fuente:</w:t>
      </w:r>
      <w:r w:rsidR="004B2098"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4D557E">
        <w:rPr>
          <w:rFonts w:ascii="Verdana" w:hAnsi="Verdana" w:cs="Arial"/>
          <w:sz w:val="14"/>
          <w:lang w:val="es-MX"/>
        </w:rPr>
        <w:t>03/02/2026</w:t>
      </w:r>
    </w:p>
    <w:p w14:paraId="5BC5283B" w14:textId="77777777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D84FC17" w14:textId="7400B75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50D877D9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7AA969" w14:textId="14FE668B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7EB0A39B" w14:textId="0E5C2394" w:rsidR="00DE6618" w:rsidRDefault="0063762E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0F2BD638" wp14:editId="0D90E54E">
            <wp:extent cx="6493388" cy="411480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31" cy="4147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56349" w14:textId="39E3180A" w:rsidR="00A31FA9" w:rsidRDefault="00A31FA9" w:rsidP="00AD3E1C">
      <w:pPr>
        <w:jc w:val="center"/>
        <w:rPr>
          <w:rFonts w:ascii="Verdana" w:hAnsi="Verdana" w:cs="Arial"/>
          <w:b/>
          <w:lang w:val="es-MX"/>
        </w:rPr>
      </w:pPr>
    </w:p>
    <w:p w14:paraId="629B4FD0" w14:textId="1DD63038" w:rsidR="008611F7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3D04880B" w14:textId="71E3F492" w:rsidR="0063762E" w:rsidRDefault="0063762E" w:rsidP="00A81D8D">
      <w:pPr>
        <w:rPr>
          <w:rFonts w:ascii="Verdana" w:hAnsi="Verdana" w:cs="Arial"/>
          <w:b/>
          <w:sz w:val="12"/>
          <w:lang w:val="es-MX"/>
        </w:rPr>
      </w:pPr>
    </w:p>
    <w:p w14:paraId="512A786E" w14:textId="655AE34F" w:rsidR="0063762E" w:rsidRDefault="0063762E" w:rsidP="00A81D8D">
      <w:pPr>
        <w:rPr>
          <w:rFonts w:ascii="Verdana" w:hAnsi="Verdana" w:cs="Arial"/>
          <w:b/>
          <w:sz w:val="12"/>
          <w:lang w:val="es-MX"/>
        </w:rPr>
      </w:pPr>
    </w:p>
    <w:p w14:paraId="6ACF353F" w14:textId="3C5238B4" w:rsidR="0063762E" w:rsidRDefault="0063762E" w:rsidP="00A81D8D">
      <w:pPr>
        <w:rPr>
          <w:rFonts w:ascii="Verdana" w:hAnsi="Verdana" w:cs="Arial"/>
          <w:b/>
          <w:sz w:val="12"/>
          <w:lang w:val="es-MX"/>
        </w:rPr>
      </w:pPr>
      <w:r w:rsidRPr="0063762E">
        <w:rPr>
          <w:noProof/>
          <w:lang w:eastAsia="es-GT"/>
        </w:rPr>
        <w:drawing>
          <wp:inline distT="0" distB="0" distL="0" distR="0" wp14:anchorId="66850C2A" wp14:editId="2FA69378">
            <wp:extent cx="6402516" cy="1768186"/>
            <wp:effectExtent l="19050" t="19050" r="17780" b="2286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78" cy="178471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F72C4B" w14:textId="2D6B0646" w:rsidR="0063762E" w:rsidRDefault="0063762E" w:rsidP="00A81D8D">
      <w:pPr>
        <w:rPr>
          <w:rFonts w:ascii="Verdana" w:hAnsi="Verdana" w:cs="Arial"/>
          <w:b/>
          <w:sz w:val="12"/>
          <w:lang w:val="es-MX"/>
        </w:rPr>
      </w:pPr>
    </w:p>
    <w:p w14:paraId="75F288E0" w14:textId="7479FC0C" w:rsidR="0063762E" w:rsidRDefault="0063762E" w:rsidP="00A81D8D">
      <w:pPr>
        <w:rPr>
          <w:rFonts w:ascii="Verdana" w:hAnsi="Verdana" w:cs="Arial"/>
          <w:b/>
          <w:sz w:val="12"/>
          <w:lang w:val="es-MX"/>
        </w:rPr>
      </w:pPr>
    </w:p>
    <w:p w14:paraId="436A66EE" w14:textId="77777777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03/02/2026</w:t>
      </w:r>
    </w:p>
    <w:p w14:paraId="2CB28A91" w14:textId="77777777" w:rsidR="00CA5B1A" w:rsidRPr="00C608DA" w:rsidRDefault="00CA5B1A" w:rsidP="00024BDC">
      <w:pPr>
        <w:rPr>
          <w:rFonts w:ascii="Verdana" w:hAnsi="Verdana" w:cs="Arial"/>
          <w:lang w:val="es-MX"/>
        </w:rPr>
      </w:pPr>
    </w:p>
    <w:p w14:paraId="5ED0DCF5" w14:textId="10F89D3A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5D9DCBC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4531863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70BB7735" w14:textId="59B842B3" w:rsidR="00D34427" w:rsidRDefault="0063762E" w:rsidP="00AD3E1C">
      <w:pPr>
        <w:jc w:val="center"/>
        <w:rPr>
          <w:rFonts w:ascii="Verdana" w:hAnsi="Verdana" w:cs="Arial"/>
          <w:b/>
          <w:lang w:val="es-MX"/>
        </w:rPr>
      </w:pPr>
      <w:r w:rsidRPr="0063762E">
        <w:rPr>
          <w:noProof/>
          <w:lang w:eastAsia="es-GT"/>
        </w:rPr>
        <w:drawing>
          <wp:inline distT="0" distB="0" distL="0" distR="0" wp14:anchorId="6E4C3037" wp14:editId="0AF90065">
            <wp:extent cx="6194425" cy="4511386"/>
            <wp:effectExtent l="19050" t="19050" r="15875" b="2286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62" cy="45251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FFEFBB" w14:textId="05F4CB9C" w:rsidR="00D568AD" w:rsidRDefault="00D568AD" w:rsidP="00AD3E1C">
      <w:pPr>
        <w:jc w:val="center"/>
        <w:rPr>
          <w:rFonts w:ascii="Verdana" w:hAnsi="Verdana" w:cs="Arial"/>
          <w:b/>
          <w:lang w:val="es-MX"/>
        </w:rPr>
      </w:pPr>
    </w:p>
    <w:p w14:paraId="63FB95AC" w14:textId="77777777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03/02/2026</w:t>
      </w:r>
    </w:p>
    <w:p w14:paraId="2F97DA2E" w14:textId="3F9F3FDC" w:rsidR="00CC0E62" w:rsidRDefault="00CC0E62" w:rsidP="002B0598">
      <w:pPr>
        <w:rPr>
          <w:rFonts w:ascii="Verdana" w:hAnsi="Verdana" w:cs="Arial"/>
          <w:lang w:val="es-MX"/>
        </w:rPr>
      </w:pPr>
    </w:p>
    <w:p w14:paraId="18F8AE69" w14:textId="1747B103" w:rsidR="004A0650" w:rsidRDefault="004A0650" w:rsidP="002B0598">
      <w:pPr>
        <w:rPr>
          <w:rFonts w:ascii="Verdana" w:hAnsi="Verdana" w:cs="Arial"/>
          <w:lang w:val="es-MX"/>
        </w:rPr>
      </w:pPr>
    </w:p>
    <w:p w14:paraId="0147E237" w14:textId="77777777" w:rsidR="00A31FA9" w:rsidRDefault="00A31FA9" w:rsidP="002B0598">
      <w:pPr>
        <w:rPr>
          <w:rFonts w:ascii="Verdana" w:hAnsi="Verdana" w:cs="Arial"/>
          <w:lang w:val="es-MX"/>
        </w:rPr>
      </w:pPr>
    </w:p>
    <w:p w14:paraId="10D4BB4B" w14:textId="77777777" w:rsidR="00D568AD" w:rsidRDefault="00D568AD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191A4D8C" w14:textId="728C70EA" w:rsidR="00AD3E1C" w:rsidRPr="00C608DA" w:rsidRDefault="0022776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5FA859CE" w14:textId="37854FAE" w:rsidR="00CA558D" w:rsidRPr="003B7642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3B7642">
        <w:rPr>
          <w:rFonts w:ascii="Verdana" w:hAnsi="Verdana" w:cs="Arial"/>
          <w:b/>
          <w:lang w:val="es-MX"/>
        </w:rPr>
        <w:t>Cuadro No. 2</w:t>
      </w:r>
    </w:p>
    <w:p w14:paraId="588A1A30" w14:textId="506A42F4" w:rsidR="00CA558D" w:rsidRPr="003B7642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3B7642">
        <w:rPr>
          <w:rFonts w:ascii="Verdana" w:hAnsi="Verdana" w:cs="Arial"/>
          <w:b/>
          <w:lang w:val="es-MX"/>
        </w:rPr>
        <w:t>Viceministerio de Integración y Comercio Exterior</w:t>
      </w:r>
    </w:p>
    <w:p w14:paraId="451B81EC" w14:textId="34B62275" w:rsidR="00CA558D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3B7642">
        <w:rPr>
          <w:rFonts w:ascii="Verdana" w:hAnsi="Verdana" w:cs="Arial"/>
          <w:b/>
          <w:lang w:val="es-MX"/>
        </w:rPr>
        <w:t>Informe de Ejecución de Cuota Financiera</w:t>
      </w:r>
    </w:p>
    <w:p w14:paraId="4A54BA9F" w14:textId="77777777" w:rsidR="00D568AD" w:rsidRPr="00962AA6" w:rsidRDefault="00D568AD" w:rsidP="00CA558D">
      <w:pPr>
        <w:jc w:val="center"/>
        <w:rPr>
          <w:rFonts w:ascii="Verdana" w:hAnsi="Verdana" w:cs="Arial"/>
          <w:b/>
          <w:lang w:val="es-MX"/>
        </w:rPr>
      </w:pPr>
    </w:p>
    <w:p w14:paraId="211DB9D8" w14:textId="108061BA" w:rsidR="00AD3E1C" w:rsidRDefault="00AD3E1C" w:rsidP="00AD3E1C">
      <w:pPr>
        <w:jc w:val="both"/>
        <w:rPr>
          <w:noProof/>
          <w:lang w:eastAsia="es-GT"/>
        </w:rPr>
      </w:pPr>
    </w:p>
    <w:p w14:paraId="2831E63A" w14:textId="63D067DA" w:rsidR="003B7642" w:rsidRDefault="003B7642" w:rsidP="00AD3E1C">
      <w:pPr>
        <w:jc w:val="both"/>
        <w:rPr>
          <w:noProof/>
          <w:lang w:eastAsia="es-GT"/>
        </w:rPr>
      </w:pPr>
    </w:p>
    <w:p w14:paraId="4D2D01B8" w14:textId="4590C8DF" w:rsidR="003B7642" w:rsidRPr="00962AA6" w:rsidRDefault="003B7642" w:rsidP="00AD3E1C">
      <w:pPr>
        <w:jc w:val="both"/>
        <w:rPr>
          <w:rFonts w:ascii="Verdana" w:hAnsi="Verdana" w:cs="Arial"/>
          <w:lang w:val="es-MX"/>
        </w:rPr>
      </w:pPr>
      <w:r w:rsidRPr="00831EF5">
        <w:rPr>
          <w:noProof/>
          <w:lang w:eastAsia="es-GT"/>
        </w:rPr>
        <w:drawing>
          <wp:inline distT="0" distB="0" distL="0" distR="0" wp14:anchorId="5E76E236" wp14:editId="0116F636">
            <wp:extent cx="5611865" cy="246697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1"/>
                    <a:stretch/>
                  </pic:blipFill>
                  <pic:spPr bwMode="auto">
                    <a:xfrm>
                      <a:off x="0" y="0"/>
                      <a:ext cx="5612130" cy="246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3FF9D" w14:textId="77777777" w:rsidR="003B7642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</w:p>
    <w:p w14:paraId="45A9D6D4" w14:textId="68F0323B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03/02/2026</w:t>
      </w:r>
    </w:p>
    <w:p w14:paraId="3861A5CC" w14:textId="77777777" w:rsidR="00AD3E1C" w:rsidRPr="00C608DA" w:rsidRDefault="00AD3E1C" w:rsidP="00AD3E1C">
      <w:pPr>
        <w:rPr>
          <w:rFonts w:ascii="Verdana" w:hAnsi="Verdana"/>
        </w:rPr>
      </w:pPr>
    </w:p>
    <w:p w14:paraId="15224978" w14:textId="77777777"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4167" w14:textId="77777777" w:rsidR="00C60E15" w:rsidRDefault="00C60E15" w:rsidP="00950217">
      <w:r>
        <w:separator/>
      </w:r>
    </w:p>
  </w:endnote>
  <w:endnote w:type="continuationSeparator" w:id="0">
    <w:p w14:paraId="61915010" w14:textId="77777777" w:rsidR="00C60E15" w:rsidRDefault="00C60E15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C7B4" w14:textId="77777777" w:rsidR="00C60E15" w:rsidRDefault="00C60E15" w:rsidP="00950217">
      <w:r>
        <w:separator/>
      </w:r>
    </w:p>
  </w:footnote>
  <w:footnote w:type="continuationSeparator" w:id="0">
    <w:p w14:paraId="7AA6F2BA" w14:textId="77777777" w:rsidR="00C60E15" w:rsidRDefault="00C60E15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1F4FAA"/>
    <w:rsid w:val="00214DC7"/>
    <w:rsid w:val="00223F76"/>
    <w:rsid w:val="00227761"/>
    <w:rsid w:val="00227BE6"/>
    <w:rsid w:val="00255153"/>
    <w:rsid w:val="002600EB"/>
    <w:rsid w:val="00262115"/>
    <w:rsid w:val="0026786D"/>
    <w:rsid w:val="00271C48"/>
    <w:rsid w:val="002B0598"/>
    <w:rsid w:val="002B4A58"/>
    <w:rsid w:val="002C2478"/>
    <w:rsid w:val="002E0527"/>
    <w:rsid w:val="00353C44"/>
    <w:rsid w:val="0037225F"/>
    <w:rsid w:val="00381F6C"/>
    <w:rsid w:val="00386577"/>
    <w:rsid w:val="00387D86"/>
    <w:rsid w:val="003A36D2"/>
    <w:rsid w:val="003B764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4D557E"/>
    <w:rsid w:val="005061E2"/>
    <w:rsid w:val="00507D19"/>
    <w:rsid w:val="00510EBF"/>
    <w:rsid w:val="00553CC9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3762E"/>
    <w:rsid w:val="006442A0"/>
    <w:rsid w:val="006515B9"/>
    <w:rsid w:val="00652C4F"/>
    <w:rsid w:val="006645D2"/>
    <w:rsid w:val="00665A3B"/>
    <w:rsid w:val="00674549"/>
    <w:rsid w:val="00685450"/>
    <w:rsid w:val="00692CA4"/>
    <w:rsid w:val="006B72B9"/>
    <w:rsid w:val="006D0EC0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2AA6"/>
    <w:rsid w:val="00967F52"/>
    <w:rsid w:val="009A1E7E"/>
    <w:rsid w:val="009A4551"/>
    <w:rsid w:val="009A5F2A"/>
    <w:rsid w:val="009A60CF"/>
    <w:rsid w:val="009C2F46"/>
    <w:rsid w:val="009D0878"/>
    <w:rsid w:val="009D306E"/>
    <w:rsid w:val="009D5A41"/>
    <w:rsid w:val="009E5161"/>
    <w:rsid w:val="009E757D"/>
    <w:rsid w:val="009E7B83"/>
    <w:rsid w:val="00A01537"/>
    <w:rsid w:val="00A07044"/>
    <w:rsid w:val="00A31FA9"/>
    <w:rsid w:val="00A34B00"/>
    <w:rsid w:val="00A37AA0"/>
    <w:rsid w:val="00A40B7A"/>
    <w:rsid w:val="00A41BB2"/>
    <w:rsid w:val="00A7151B"/>
    <w:rsid w:val="00A81D8D"/>
    <w:rsid w:val="00A8238C"/>
    <w:rsid w:val="00A86170"/>
    <w:rsid w:val="00A95E33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570"/>
    <w:rsid w:val="00C10ADC"/>
    <w:rsid w:val="00C32124"/>
    <w:rsid w:val="00C5081D"/>
    <w:rsid w:val="00C608DA"/>
    <w:rsid w:val="00C60E15"/>
    <w:rsid w:val="00C91118"/>
    <w:rsid w:val="00CA558D"/>
    <w:rsid w:val="00CA5B1A"/>
    <w:rsid w:val="00CB4611"/>
    <w:rsid w:val="00CC0E62"/>
    <w:rsid w:val="00CC7B05"/>
    <w:rsid w:val="00CD36CE"/>
    <w:rsid w:val="00CD4152"/>
    <w:rsid w:val="00CE1FF2"/>
    <w:rsid w:val="00CF53C4"/>
    <w:rsid w:val="00CF72F1"/>
    <w:rsid w:val="00D040D1"/>
    <w:rsid w:val="00D16426"/>
    <w:rsid w:val="00D325B6"/>
    <w:rsid w:val="00D34427"/>
    <w:rsid w:val="00D41F9E"/>
    <w:rsid w:val="00D568AD"/>
    <w:rsid w:val="00D56943"/>
    <w:rsid w:val="00D56EC4"/>
    <w:rsid w:val="00D70449"/>
    <w:rsid w:val="00D82ED0"/>
    <w:rsid w:val="00D84B02"/>
    <w:rsid w:val="00D87EE2"/>
    <w:rsid w:val="00D95101"/>
    <w:rsid w:val="00D96DDB"/>
    <w:rsid w:val="00DD7C23"/>
    <w:rsid w:val="00DE6618"/>
    <w:rsid w:val="00DF5E7D"/>
    <w:rsid w:val="00E0246F"/>
    <w:rsid w:val="00E23948"/>
    <w:rsid w:val="00E301A8"/>
    <w:rsid w:val="00E66870"/>
    <w:rsid w:val="00E97449"/>
    <w:rsid w:val="00EB2464"/>
    <w:rsid w:val="00EB3219"/>
    <w:rsid w:val="00EC3775"/>
    <w:rsid w:val="00EC3C55"/>
    <w:rsid w:val="00ED2FA1"/>
    <w:rsid w:val="00EE3188"/>
    <w:rsid w:val="00EE6BD3"/>
    <w:rsid w:val="00F243CE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D6-47EA-86A7-20B9C0B0374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D6-47EA-86A7-20B9C0B0374B}"/>
              </c:ext>
            </c:extLst>
          </c:dPt>
          <c:dLbls>
            <c:dLbl>
              <c:idx val="0"/>
              <c:layout>
                <c:manualLayout>
                  <c:x val="-0.21492911147120666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D6-47EA-86A7-20B9C0B0374B}"/>
                </c:ext>
              </c:extLst>
            </c:dLbl>
            <c:dLbl>
              <c:idx val="1"/>
              <c:layout>
                <c:manualLayout>
                  <c:x val="0.34293836168567526"/>
                  <c:y val="-5.87508618431463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72444549857161"/>
                      <c:h val="0.222482266318350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7D6-47EA-86A7-20B9C0B037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'Comercio Exterior'!$H$3:$I$3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'Comercio Exterior'!$H$4:$I$4</c:f>
              <c:numCache>
                <c:formatCode>_(* #,##0.00_);_(* \(#,##0.00\);_(* "-"??_);_(@_)</c:formatCode>
                <c:ptCount val="2"/>
                <c:pt idx="0">
                  <c:v>1525431.1300000001</c:v>
                </c:pt>
                <c:pt idx="1">
                  <c:v>102050923.87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D6-47EA-86A7-20B9C0B0374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2026-01-19T18:24:00Z</cp:lastPrinted>
  <dcterms:created xsi:type="dcterms:W3CDTF">2026-02-03T23:16:00Z</dcterms:created>
  <dcterms:modified xsi:type="dcterms:W3CDTF">2026-02-05T02:03:00Z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