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429E4D04" w:rsidR="00BA3504" w:rsidRPr="009C36AA" w:rsidRDefault="00BD0B19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Marzo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 xml:space="preserve"> 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>202</w:t>
      </w:r>
      <w:r w:rsidR="00025DED">
        <w:rPr>
          <w:rFonts w:ascii="Verdana" w:hAnsi="Verdana" w:cs="Arial"/>
          <w:b/>
          <w:color w:val="002060"/>
          <w:sz w:val="48"/>
          <w:lang w:val="es-MX"/>
        </w:rPr>
        <w:t>6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1581A49D" w:rsidR="00BA3504" w:rsidRPr="009C36AA" w:rsidRDefault="00BD0B19" w:rsidP="00BA3504">
      <w:pPr>
        <w:contextualSpacing/>
        <w:jc w:val="center"/>
        <w:rPr>
          <w:rFonts w:ascii="Verdana" w:hAnsi="Verdana" w:cs="Arial"/>
          <w:b/>
          <w:lang w:val="es-MX"/>
        </w:rPr>
      </w:pPr>
      <w:r w:rsidRPr="00BD0B19">
        <w:rPr>
          <w:rFonts w:ascii="Verdana" w:hAnsi="Verdana" w:cs="Arial"/>
          <w:b/>
          <w:lang w:val="es-MX"/>
        </w:rPr>
        <w:t>MARZO</w:t>
      </w:r>
      <w:r w:rsidR="00025DED">
        <w:rPr>
          <w:rFonts w:ascii="Verdana" w:hAnsi="Verdana" w:cs="Arial"/>
          <w:b/>
          <w:lang w:val="es-MX"/>
        </w:rPr>
        <w:t xml:space="preserve"> 2026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233ACBB8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</w:t>
      </w:r>
      <w:r w:rsidR="005A0BE0">
        <w:rPr>
          <w:rFonts w:ascii="Verdana" w:eastAsia="Calibri" w:hAnsi="Verdana" w:cs="Arial"/>
          <w:szCs w:val="24"/>
          <w:lang w:val="es-MX" w:eastAsia="en-US"/>
        </w:rPr>
        <w:t xml:space="preserve">y disminuye 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por 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734AC">
        <w:rPr>
          <w:rFonts w:ascii="Verdana" w:eastAsia="Calibri" w:hAnsi="Verdana" w:cs="Arial"/>
          <w:b/>
          <w:szCs w:val="24"/>
          <w:lang w:val="es-MX" w:eastAsia="en-US"/>
        </w:rPr>
        <w:t>320,529,897</w:t>
      </w:r>
      <w:r w:rsidR="007A2B35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6BD4">
        <w:rPr>
          <w:rFonts w:ascii="Verdana" w:eastAsia="Calibri" w:hAnsi="Verdana" w:cs="Arial"/>
          <w:szCs w:val="24"/>
          <w:lang w:val="es-MX" w:eastAsia="en-US"/>
        </w:rPr>
        <w:t>p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734AC">
        <w:rPr>
          <w:rFonts w:ascii="Verdana" w:eastAsia="Calibri" w:hAnsi="Verdana" w:cs="Arial"/>
          <w:b/>
          <w:szCs w:val="24"/>
          <w:lang w:val="es-MX" w:eastAsia="en-US"/>
        </w:rPr>
        <w:t>112,971,065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734AC">
        <w:rPr>
          <w:rFonts w:ascii="Verdana" w:eastAsia="Calibri" w:hAnsi="Verdana" w:cs="Arial"/>
          <w:b/>
          <w:szCs w:val="24"/>
          <w:lang w:val="es-MX" w:eastAsia="en-US"/>
        </w:rPr>
        <w:t>6,31</w:t>
      </w:r>
      <w:r w:rsidR="005A0BE0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Pr="00346BD4">
        <w:rPr>
          <w:rFonts w:ascii="Verdana" w:eastAsia="Calibri" w:hAnsi="Verdana" w:cs="Arial"/>
          <w:szCs w:val="24"/>
          <w:lang w:val="es-MX" w:eastAsia="en-US"/>
        </w:rPr>
        <w:t>al</w:t>
      </w:r>
      <w:r w:rsidR="00346BD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40D47">
        <w:rPr>
          <w:rFonts w:ascii="Verdana" w:eastAsia="Calibri" w:hAnsi="Verdana" w:cs="Arial"/>
          <w:b/>
          <w:szCs w:val="24"/>
          <w:lang w:val="es-MX" w:eastAsia="en-US"/>
        </w:rPr>
        <w:t>5.59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5E601084" w:rsidR="00431298" w:rsidRDefault="00540D47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189500D0" wp14:editId="1909734D">
            <wp:extent cx="4934663" cy="3167149"/>
            <wp:effectExtent l="0" t="0" r="0" b="0"/>
            <wp:docPr id="1689323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168" cy="317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40254" w14:textId="77777777" w:rsidR="00A016B1" w:rsidRDefault="00A016B1" w:rsidP="00346BD4">
      <w:pPr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</w:pPr>
    </w:p>
    <w:p w14:paraId="3C9521DB" w14:textId="28F7129A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07/04/2026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0AF4CCB6" w:rsidR="00BA3504" w:rsidRPr="009C36AA" w:rsidRDefault="00A016B1" w:rsidP="00E734A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FE76A0">
        <w:rPr>
          <w:rFonts w:ascii="Verdana" w:hAnsi="Verdana" w:cs="Arial"/>
          <w:b/>
          <w:lang w:val="es-MX"/>
        </w:rPr>
        <w:lastRenderedPageBreak/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05A4B32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4D04DD78" w14:textId="2489B47C" w:rsidR="00427947" w:rsidRDefault="00427947" w:rsidP="00346BD4">
      <w:pPr>
        <w:jc w:val="center"/>
        <w:rPr>
          <w:rFonts w:ascii="Verdana" w:hAnsi="Verdana" w:cs="Arial"/>
          <w:b/>
          <w:sz w:val="14"/>
          <w:lang w:val="es-MX"/>
        </w:rPr>
      </w:pPr>
    </w:p>
    <w:p w14:paraId="7D1A0C49" w14:textId="02EA5344" w:rsidR="00427947" w:rsidRDefault="00540D47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16A5ECF3" wp14:editId="2D986C81">
            <wp:extent cx="6141720" cy="4272742"/>
            <wp:effectExtent l="0" t="0" r="0" b="0"/>
            <wp:docPr id="11477970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13" cy="4303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80014" w14:textId="0ED208D4" w:rsid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07/04/2026</w:t>
      </w:r>
    </w:p>
    <w:p w14:paraId="2AA95AF3" w14:textId="7AA95F0E" w:rsidR="00E734AC" w:rsidRDefault="00E734AC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466D6345" w14:textId="1D6C9ACD" w:rsidR="00A51E34" w:rsidRDefault="00540D47" w:rsidP="00FA4DEB">
      <w:pPr>
        <w:rPr>
          <w:rFonts w:ascii="Verdana" w:hAnsi="Verdana" w:cs="Arial"/>
          <w:sz w:val="16"/>
          <w:lang w:val="es-MX"/>
        </w:rPr>
      </w:pPr>
      <w:r w:rsidRPr="00540D47">
        <w:drawing>
          <wp:inline distT="0" distB="0" distL="0" distR="0" wp14:anchorId="78137571" wp14:editId="73115E63">
            <wp:extent cx="6136114" cy="1704109"/>
            <wp:effectExtent l="19050" t="19050" r="17145" b="10795"/>
            <wp:docPr id="6570890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512" cy="17142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1ACD71" w14:textId="5D3C62FA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45BEB54D" w14:textId="4059DF14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24387565" w14:textId="66C3808A" w:rsidR="00F219A3" w:rsidRDefault="00540D47" w:rsidP="00F219A3">
      <w:pPr>
        <w:rPr>
          <w:rFonts w:ascii="Verdana" w:hAnsi="Verdana" w:cs="Arial"/>
          <w:b/>
          <w:lang w:val="es-MX"/>
        </w:rPr>
      </w:pPr>
      <w:r w:rsidRPr="00540D47">
        <w:drawing>
          <wp:inline distT="0" distB="0" distL="0" distR="0" wp14:anchorId="6A19A4E9" wp14:editId="1273C344">
            <wp:extent cx="5981700" cy="6963641"/>
            <wp:effectExtent l="19050" t="19050" r="19050" b="27940"/>
            <wp:docPr id="2547020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331" cy="69841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4752E" w14:textId="06C218A6" w:rsidR="00A016B1" w:rsidRDefault="00346BD4" w:rsidP="00346BD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07/04/2026</w:t>
      </w:r>
    </w:p>
    <w:p w14:paraId="1205571A" w14:textId="2774EE76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 xml:space="preserve">Cuadro No. </w:t>
      </w:r>
      <w:r w:rsidR="009831E5" w:rsidRPr="006D7ED2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6D7ED2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6D7ED2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134E248A" w:rsidR="006B6D2C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37DC7562" w14:textId="47F19397" w:rsidR="00615DE8" w:rsidRDefault="006D7ED2" w:rsidP="006B6D2C">
      <w:pPr>
        <w:rPr>
          <w:rFonts w:ascii="Verdana" w:hAnsi="Verdana" w:cs="Arial"/>
          <w:b/>
          <w:sz w:val="16"/>
          <w:lang w:val="es-MX"/>
        </w:rPr>
      </w:pPr>
      <w:r w:rsidRPr="006D7ED2">
        <w:rPr>
          <w:noProof/>
          <w:lang w:eastAsia="es-GT"/>
        </w:rPr>
        <w:drawing>
          <wp:inline distT="0" distB="0" distL="0" distR="0" wp14:anchorId="167A2BF6" wp14:editId="48D47140">
            <wp:extent cx="5610451" cy="2092383"/>
            <wp:effectExtent l="19050" t="19050" r="28575" b="222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04" cy="20949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935570" w14:textId="20417B36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0B209213" w14:textId="4327AF15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74647EBA" w14:textId="77777777"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5A2D0057" w14:textId="77777777"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14:paraId="1943A27A" w14:textId="32C3CAE5" w:rsidR="00346BD4" w:rsidRPr="00346BD4" w:rsidRDefault="00346BD4" w:rsidP="00346BD4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346BD4">
        <w:rPr>
          <w:rFonts w:ascii="Verdana" w:eastAsia="Times New Roman" w:hAnsi="Verdana" w:cs="Arial"/>
          <w:b/>
          <w:bCs/>
          <w:color w:val="000000"/>
          <w:kern w:val="0"/>
          <w:sz w:val="16"/>
          <w:szCs w:val="16"/>
          <w:lang w:eastAsia="es-GT"/>
          <w14:ligatures w14:val="none"/>
        </w:rPr>
        <w:t>Fuente</w:t>
      </w:r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: Sistema de Contabilidad Integrada (</w:t>
      </w:r>
      <w:proofErr w:type="spellStart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346BD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5A0BE0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07/04/2026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C3D5" w14:textId="77777777" w:rsidR="004E1A24" w:rsidRDefault="004E1A24" w:rsidP="00950217">
      <w:r>
        <w:separator/>
      </w:r>
    </w:p>
  </w:endnote>
  <w:endnote w:type="continuationSeparator" w:id="0">
    <w:p w14:paraId="1615A7E9" w14:textId="77777777" w:rsidR="004E1A24" w:rsidRDefault="004E1A24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8972" w14:textId="77777777" w:rsidR="004E1A24" w:rsidRDefault="004E1A24" w:rsidP="00950217">
      <w:r>
        <w:separator/>
      </w:r>
    </w:p>
  </w:footnote>
  <w:footnote w:type="continuationSeparator" w:id="0">
    <w:p w14:paraId="53B09410" w14:textId="77777777" w:rsidR="004E1A24" w:rsidRDefault="004E1A24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25DED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2A82"/>
    <w:rsid w:val="001B4D00"/>
    <w:rsid w:val="00212AF2"/>
    <w:rsid w:val="0022425A"/>
    <w:rsid w:val="00224D0E"/>
    <w:rsid w:val="00231A5F"/>
    <w:rsid w:val="002421EE"/>
    <w:rsid w:val="002459F2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2E0330"/>
    <w:rsid w:val="00307024"/>
    <w:rsid w:val="00314B45"/>
    <w:rsid w:val="003157BB"/>
    <w:rsid w:val="00327145"/>
    <w:rsid w:val="003434A8"/>
    <w:rsid w:val="00346BD4"/>
    <w:rsid w:val="0037225F"/>
    <w:rsid w:val="0038584F"/>
    <w:rsid w:val="003873E0"/>
    <w:rsid w:val="00390225"/>
    <w:rsid w:val="003A0816"/>
    <w:rsid w:val="003A5DB0"/>
    <w:rsid w:val="003D1A2A"/>
    <w:rsid w:val="003D61AA"/>
    <w:rsid w:val="003F5C96"/>
    <w:rsid w:val="004034FE"/>
    <w:rsid w:val="00424178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1A24"/>
    <w:rsid w:val="004E46CE"/>
    <w:rsid w:val="005073DB"/>
    <w:rsid w:val="00507D19"/>
    <w:rsid w:val="00510D55"/>
    <w:rsid w:val="005162DD"/>
    <w:rsid w:val="00516A31"/>
    <w:rsid w:val="005254C3"/>
    <w:rsid w:val="005279F1"/>
    <w:rsid w:val="00534AAA"/>
    <w:rsid w:val="00540D47"/>
    <w:rsid w:val="005444E4"/>
    <w:rsid w:val="00547814"/>
    <w:rsid w:val="00554C4A"/>
    <w:rsid w:val="0055653E"/>
    <w:rsid w:val="00573B4B"/>
    <w:rsid w:val="00590FD2"/>
    <w:rsid w:val="005A0BE0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15DE8"/>
    <w:rsid w:val="00621D4A"/>
    <w:rsid w:val="0063196F"/>
    <w:rsid w:val="00632621"/>
    <w:rsid w:val="006448E3"/>
    <w:rsid w:val="00667481"/>
    <w:rsid w:val="00676356"/>
    <w:rsid w:val="006A0401"/>
    <w:rsid w:val="006A4CA1"/>
    <w:rsid w:val="006A58C1"/>
    <w:rsid w:val="006B6D2C"/>
    <w:rsid w:val="006C2EA0"/>
    <w:rsid w:val="006D1BF3"/>
    <w:rsid w:val="006D35FA"/>
    <w:rsid w:val="006D7ED2"/>
    <w:rsid w:val="006E1701"/>
    <w:rsid w:val="006E1C78"/>
    <w:rsid w:val="006E32FB"/>
    <w:rsid w:val="006E3B81"/>
    <w:rsid w:val="006F3214"/>
    <w:rsid w:val="006F6270"/>
    <w:rsid w:val="00733A93"/>
    <w:rsid w:val="00740FD5"/>
    <w:rsid w:val="007550D9"/>
    <w:rsid w:val="00757E9A"/>
    <w:rsid w:val="0077737B"/>
    <w:rsid w:val="00796874"/>
    <w:rsid w:val="007A1263"/>
    <w:rsid w:val="007A2B35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13DD3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3382"/>
    <w:rsid w:val="009A7F60"/>
    <w:rsid w:val="009B4F88"/>
    <w:rsid w:val="009C36AA"/>
    <w:rsid w:val="009C7AC2"/>
    <w:rsid w:val="009D169D"/>
    <w:rsid w:val="009E5161"/>
    <w:rsid w:val="009F019F"/>
    <w:rsid w:val="009F29B3"/>
    <w:rsid w:val="00A016B1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9700C"/>
    <w:rsid w:val="00BA3504"/>
    <w:rsid w:val="00BB35A3"/>
    <w:rsid w:val="00BC0E87"/>
    <w:rsid w:val="00BC572D"/>
    <w:rsid w:val="00BC5E60"/>
    <w:rsid w:val="00BD0B19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D6146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734AC"/>
    <w:rsid w:val="00E76E3A"/>
    <w:rsid w:val="00E87EC8"/>
    <w:rsid w:val="00E95E7A"/>
    <w:rsid w:val="00EA693A"/>
    <w:rsid w:val="00EA7565"/>
    <w:rsid w:val="00EB2464"/>
    <w:rsid w:val="00EB602F"/>
    <w:rsid w:val="00EC4479"/>
    <w:rsid w:val="00EC4D81"/>
    <w:rsid w:val="00ED2FA1"/>
    <w:rsid w:val="00ED69F4"/>
    <w:rsid w:val="00EE62BE"/>
    <w:rsid w:val="00EE6BEA"/>
    <w:rsid w:val="00EF10F2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2026-01-19T21:47:00Z</cp:lastPrinted>
  <dcterms:created xsi:type="dcterms:W3CDTF">2026-04-07T21:58:00Z</dcterms:created>
  <dcterms:modified xsi:type="dcterms:W3CDTF">2026-04-17T00:24:00Z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