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48BF6291" w:rsidR="00AD3E1C" w:rsidRPr="00C608DA" w:rsidRDefault="00E07E30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Marzo</w:t>
      </w:r>
      <w:r w:rsidR="00A73DB8">
        <w:rPr>
          <w:rFonts w:ascii="Verdana" w:hAnsi="Verdana" w:cs="Arial"/>
          <w:b/>
          <w:color w:val="002060"/>
          <w:sz w:val="48"/>
        </w:rPr>
        <w:t xml:space="preserve"> </w:t>
      </w:r>
      <w:r w:rsidR="00D56943">
        <w:rPr>
          <w:rFonts w:ascii="Verdana" w:hAnsi="Verdana" w:cs="Arial"/>
          <w:b/>
          <w:color w:val="002060"/>
          <w:sz w:val="48"/>
        </w:rPr>
        <w:t>202</w:t>
      </w:r>
      <w:r w:rsidR="004D557E">
        <w:rPr>
          <w:rFonts w:ascii="Verdana" w:hAnsi="Verdana" w:cs="Arial"/>
          <w:b/>
          <w:color w:val="002060"/>
          <w:sz w:val="48"/>
        </w:rPr>
        <w:t>6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5C807E1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69ED895C" w:rsidR="00AD3E1C" w:rsidRPr="00C608DA" w:rsidRDefault="00E07E30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MARZO</w:t>
      </w:r>
      <w:r w:rsidR="004D557E">
        <w:rPr>
          <w:rFonts w:ascii="Verdana" w:hAnsi="Verdana" w:cs="Arial"/>
          <w:b/>
          <w:lang w:val="es-MX"/>
        </w:rPr>
        <w:t xml:space="preserve"> 2026</w:t>
      </w:r>
    </w:p>
    <w:p w14:paraId="4DF5909F" w14:textId="7777777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5CB1F2FA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56623C35" w:rsidR="00AD3E1C" w:rsidRPr="00C608DA" w:rsidRDefault="00D95101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F34397">
        <w:rPr>
          <w:rFonts w:ascii="Verdana" w:eastAsia="Calibri" w:hAnsi="Verdana" w:cs="Arial"/>
          <w:szCs w:val="24"/>
          <w:lang w:val="es-MX" w:eastAsia="en-US"/>
        </w:rPr>
        <w:t xml:space="preserve"> y disminuye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A04EA">
        <w:rPr>
          <w:rFonts w:ascii="Verdana" w:eastAsia="Calibri" w:hAnsi="Verdana" w:cs="Arial"/>
          <w:szCs w:val="24"/>
          <w:lang w:val="es-MX" w:eastAsia="en-US"/>
        </w:rPr>
        <w:t xml:space="preserve">por la cantidad de                                          </w:t>
      </w:r>
      <w:r w:rsidR="007A04EA" w:rsidRPr="007A04EA">
        <w:rPr>
          <w:rFonts w:ascii="Verdana" w:eastAsia="Calibri" w:hAnsi="Verdana" w:cs="Arial"/>
          <w:b/>
          <w:szCs w:val="24"/>
          <w:lang w:val="es-MX" w:eastAsia="en-US"/>
        </w:rPr>
        <w:t>-Q25,981,572</w:t>
      </w:r>
      <w:r w:rsidR="004D557E" w:rsidRPr="007A04E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7A04EA">
        <w:rPr>
          <w:rFonts w:ascii="Verdana" w:eastAsia="Calibri" w:hAnsi="Verdana" w:cs="Arial"/>
          <w:b/>
          <w:szCs w:val="24"/>
          <w:lang w:val="es-MX" w:eastAsia="en-US"/>
        </w:rPr>
        <w:t>77,576,355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7A04EA">
        <w:rPr>
          <w:rFonts w:ascii="Verdana" w:eastAsia="Calibri" w:hAnsi="Verdana" w:cs="Arial"/>
          <w:b/>
          <w:szCs w:val="24"/>
          <w:lang w:val="es-MX" w:eastAsia="en-US"/>
        </w:rPr>
        <w:t xml:space="preserve">5.85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7A04EA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77777777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0C8DF8E0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5E32508E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34159A59" w14:textId="137DF8F1" w:rsidR="00AD3E1C" w:rsidRDefault="00AD3E1C" w:rsidP="00DE6618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35B0FA51" w14:textId="3302C2C8" w:rsidR="00C403FE" w:rsidRDefault="00C403FE" w:rsidP="00DE6618">
      <w:pPr>
        <w:jc w:val="center"/>
        <w:rPr>
          <w:rFonts w:ascii="Verdana" w:hAnsi="Verdana" w:cs="Arial"/>
          <w:b/>
          <w:lang w:val="es-MX"/>
        </w:rPr>
      </w:pPr>
      <w:r>
        <w:rPr>
          <w:noProof/>
        </w:rPr>
        <w:drawing>
          <wp:inline distT="0" distB="0" distL="0" distR="0" wp14:anchorId="0BF74EF9" wp14:editId="4E9D6363">
            <wp:extent cx="3708169" cy="3050771"/>
            <wp:effectExtent l="0" t="0" r="6985" b="16510"/>
            <wp:docPr id="7403335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BF9DAF" w14:textId="1B8E7CF7" w:rsidR="00D82ED0" w:rsidRPr="007A04EA" w:rsidRDefault="004B2098" w:rsidP="007A04EA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>)</w:t>
      </w:r>
      <w:r w:rsidR="007A04EA">
        <w:rPr>
          <w:rFonts w:ascii="Verdana" w:hAnsi="Verdana" w:cs="Arial"/>
          <w:sz w:val="14"/>
          <w:lang w:val="es-MX"/>
        </w:rPr>
        <w:t xml:space="preserve"> 07/04/2026</w:t>
      </w:r>
    </w:p>
    <w:p w14:paraId="6D84FC17" w14:textId="49E427C3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50D877D9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B7AA969" w14:textId="14FE668B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29B4FD0" w14:textId="06FAB365" w:rsidR="008611F7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030D5B08" w14:textId="76EA9EA3" w:rsidR="00271E5A" w:rsidRDefault="00ED3FA3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  <w:r>
        <w:rPr>
          <w:rFonts w:ascii="Verdana" w:hAnsi="Verdana" w:cs="Arial"/>
          <w:b/>
          <w:sz w:val="12"/>
          <w:lang w:val="es-MX"/>
        </w:rPr>
        <w:tab/>
      </w:r>
      <w:r w:rsidR="00C403FE">
        <w:rPr>
          <w:rFonts w:ascii="Verdana" w:hAnsi="Verdana" w:cs="Arial"/>
          <w:b/>
          <w:noProof/>
          <w:sz w:val="12"/>
          <w:lang w:val="es-MX"/>
        </w:rPr>
        <w:drawing>
          <wp:inline distT="0" distB="0" distL="0" distR="0" wp14:anchorId="2BCC883C" wp14:editId="17D5ECEB">
            <wp:extent cx="5607764" cy="3177886"/>
            <wp:effectExtent l="0" t="0" r="0" b="3810"/>
            <wp:docPr id="921563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40" cy="319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AC392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5430ECC8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24C9A9EB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476AA617" w14:textId="42EBDF00" w:rsidR="00271E5A" w:rsidRDefault="007A04E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  <w:r w:rsidRPr="007A04EA">
        <w:rPr>
          <w:noProof/>
          <w:lang w:eastAsia="es-GT"/>
        </w:rPr>
        <w:drawing>
          <wp:inline distT="0" distB="0" distL="0" distR="0" wp14:anchorId="26200FA8" wp14:editId="0F61473B">
            <wp:extent cx="5610892" cy="1967692"/>
            <wp:effectExtent l="19050" t="19050" r="8890" b="139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93" cy="19754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0DDC47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436A66EE" w14:textId="40979C4D" w:rsidR="004D557E" w:rsidRDefault="004D557E" w:rsidP="004D557E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 xml:space="preserve">) </w:t>
      </w:r>
      <w:r w:rsidR="007A04EA">
        <w:rPr>
          <w:rFonts w:ascii="Verdana" w:hAnsi="Verdana" w:cs="Arial"/>
          <w:sz w:val="14"/>
          <w:lang w:val="es-MX"/>
        </w:rPr>
        <w:t>07/04/2026</w:t>
      </w:r>
    </w:p>
    <w:p w14:paraId="1353FC2F" w14:textId="4B81F58A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53B57CD5" w14:textId="7482DF14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5BB4EB17" w14:textId="46ABAFB1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437FE714" w14:textId="1CD0B293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0D5F6FBF" w14:textId="214EAAA9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61F5D8AE" w14:textId="2F866966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52862DE5" w14:textId="009B7ABE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67C0889D" w14:textId="6045D4B6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71FE4213" w14:textId="77777777" w:rsidR="007A04EA" w:rsidRPr="004D557E" w:rsidRDefault="007A04EA" w:rsidP="004D557E">
      <w:pPr>
        <w:rPr>
          <w:rFonts w:ascii="Verdana" w:hAnsi="Verdana" w:cs="Arial"/>
          <w:b/>
          <w:sz w:val="14"/>
          <w:lang w:val="es-MX"/>
        </w:rPr>
      </w:pPr>
    </w:p>
    <w:p w14:paraId="2CB28A91" w14:textId="77777777" w:rsidR="00CA5B1A" w:rsidRPr="00C608DA" w:rsidRDefault="00CA5B1A" w:rsidP="00024BDC">
      <w:pPr>
        <w:rPr>
          <w:rFonts w:ascii="Verdana" w:hAnsi="Verdana" w:cs="Arial"/>
          <w:lang w:val="es-MX"/>
        </w:rPr>
      </w:pPr>
    </w:p>
    <w:p w14:paraId="5ED0DCF5" w14:textId="10F89D3A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5D9DCBC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4531863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70BB7735" w14:textId="650A2557" w:rsidR="00D34427" w:rsidRDefault="007A04EA" w:rsidP="00AD3E1C">
      <w:pPr>
        <w:jc w:val="center"/>
        <w:rPr>
          <w:rFonts w:ascii="Verdana" w:hAnsi="Verdana" w:cs="Arial"/>
          <w:b/>
          <w:lang w:val="es-MX"/>
        </w:rPr>
      </w:pPr>
      <w:r w:rsidRPr="007A04EA">
        <w:rPr>
          <w:noProof/>
          <w:lang w:eastAsia="es-GT"/>
        </w:rPr>
        <w:drawing>
          <wp:inline distT="0" distB="0" distL="0" distR="0" wp14:anchorId="41A831BA" wp14:editId="3BB102F6">
            <wp:extent cx="6085971" cy="4924425"/>
            <wp:effectExtent l="19050" t="19050" r="1016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196" cy="493998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FFEFBB" w14:textId="05F4CB9C" w:rsidR="00D568AD" w:rsidRDefault="00D568AD" w:rsidP="00AD3E1C">
      <w:pPr>
        <w:jc w:val="center"/>
        <w:rPr>
          <w:rFonts w:ascii="Verdana" w:hAnsi="Verdana" w:cs="Arial"/>
          <w:b/>
          <w:lang w:val="es-MX"/>
        </w:rPr>
      </w:pPr>
    </w:p>
    <w:p w14:paraId="63FB95AC" w14:textId="69367729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7A04EA">
        <w:rPr>
          <w:rFonts w:ascii="Verdana" w:hAnsi="Verdana" w:cs="Arial"/>
          <w:sz w:val="14"/>
          <w:lang w:val="es-MX"/>
        </w:rPr>
        <w:t>7/04</w:t>
      </w:r>
      <w:r>
        <w:rPr>
          <w:rFonts w:ascii="Verdana" w:hAnsi="Verdana" w:cs="Arial"/>
          <w:sz w:val="14"/>
          <w:lang w:val="es-MX"/>
        </w:rPr>
        <w:t>/2026</w:t>
      </w:r>
    </w:p>
    <w:p w14:paraId="2F97DA2E" w14:textId="3F9F3FDC" w:rsidR="00CC0E62" w:rsidRDefault="00CC0E62" w:rsidP="002B0598">
      <w:pPr>
        <w:rPr>
          <w:rFonts w:ascii="Verdana" w:hAnsi="Verdana" w:cs="Arial"/>
          <w:lang w:val="es-MX"/>
        </w:rPr>
      </w:pPr>
    </w:p>
    <w:p w14:paraId="18F8AE69" w14:textId="1747B103" w:rsidR="004A0650" w:rsidRDefault="004A0650" w:rsidP="002B0598">
      <w:pPr>
        <w:rPr>
          <w:rFonts w:ascii="Verdana" w:hAnsi="Verdana" w:cs="Arial"/>
          <w:lang w:val="es-MX"/>
        </w:rPr>
      </w:pPr>
    </w:p>
    <w:p w14:paraId="0147E237" w14:textId="77777777" w:rsidR="00A31FA9" w:rsidRDefault="00A31FA9" w:rsidP="002B0598">
      <w:pPr>
        <w:rPr>
          <w:rFonts w:ascii="Verdana" w:hAnsi="Verdana" w:cs="Arial"/>
          <w:lang w:val="es-MX"/>
        </w:rPr>
      </w:pPr>
    </w:p>
    <w:p w14:paraId="191A4D8C" w14:textId="684EF756" w:rsidR="00AD3E1C" w:rsidRPr="00C608DA" w:rsidRDefault="00D568AD" w:rsidP="001C5AD1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227761">
        <w:rPr>
          <w:rFonts w:ascii="Verdana" w:hAnsi="Verdana" w:cs="Arial"/>
          <w:lang w:val="es-MX"/>
        </w:rPr>
        <w:lastRenderedPageBreak/>
        <w:t xml:space="preserve">El cuadro dos </w:t>
      </w:r>
      <w:r w:rsidR="00AD3E1C" w:rsidRPr="00C608DA">
        <w:rPr>
          <w:rFonts w:ascii="Verdana" w:hAnsi="Verdana" w:cs="Arial"/>
          <w:lang w:val="es-MX"/>
        </w:rPr>
        <w:t xml:space="preserve">detalla el comportamiento </w:t>
      </w:r>
      <w:r w:rsidR="00197DBA">
        <w:rPr>
          <w:rFonts w:ascii="Verdana" w:hAnsi="Verdana" w:cs="Arial"/>
          <w:lang w:val="es-MX"/>
        </w:rPr>
        <w:t>de las cuotas financieras solicitadas y utilizadas de la unidad ejecutora,</w:t>
      </w:r>
      <w:r w:rsidR="00AD3E1C" w:rsidRPr="00C608DA">
        <w:rPr>
          <w:rFonts w:ascii="Verdana" w:hAnsi="Verdana" w:cs="Arial"/>
          <w:lang w:val="es-MX"/>
        </w:rPr>
        <w:t xml:space="preserve"> </w:t>
      </w:r>
      <w:r w:rsidR="00227761">
        <w:rPr>
          <w:rFonts w:ascii="Verdana" w:hAnsi="Verdana" w:cs="Arial"/>
          <w:lang w:val="es-MX"/>
        </w:rPr>
        <w:t>según las</w:t>
      </w:r>
      <w:r w:rsidR="00AD3E1C" w:rsidRPr="00C608DA">
        <w:rPr>
          <w:rFonts w:ascii="Verdana" w:hAnsi="Verdana" w:cs="Arial"/>
          <w:lang w:val="es-MX"/>
        </w:rPr>
        <w:t xml:space="preserve"> dist</w:t>
      </w:r>
      <w:r w:rsidR="00197DBA">
        <w:rPr>
          <w:rFonts w:ascii="Verdana" w:hAnsi="Verdana" w:cs="Arial"/>
          <w:lang w:val="es-MX"/>
        </w:rPr>
        <w:t>intas fuentes de financiamiento.</w:t>
      </w:r>
    </w:p>
    <w:p w14:paraId="104E9ACF" w14:textId="77777777"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14:paraId="5FA859CE" w14:textId="37854FAE" w:rsidR="00CA558D" w:rsidRPr="00C92B05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Cuadro No. 2</w:t>
      </w:r>
    </w:p>
    <w:p w14:paraId="588A1A30" w14:textId="506A42F4" w:rsidR="00CA558D" w:rsidRPr="00C92B05" w:rsidRDefault="006140CF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Viceministerio de Integración y Comercio Exterior</w:t>
      </w:r>
    </w:p>
    <w:p w14:paraId="451B81EC" w14:textId="34B62275" w:rsidR="00CA558D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Informe de Ejecución de Cuota Financiera</w:t>
      </w:r>
    </w:p>
    <w:p w14:paraId="4A54BA9F" w14:textId="77777777" w:rsidR="00D568AD" w:rsidRPr="00962AA6" w:rsidRDefault="00D568AD" w:rsidP="00CA558D">
      <w:pPr>
        <w:jc w:val="center"/>
        <w:rPr>
          <w:rFonts w:ascii="Verdana" w:hAnsi="Verdana" w:cs="Arial"/>
          <w:b/>
          <w:lang w:val="es-MX"/>
        </w:rPr>
      </w:pPr>
    </w:p>
    <w:p w14:paraId="2831E63A" w14:textId="33E72540" w:rsidR="003B7642" w:rsidRDefault="003B7642" w:rsidP="00AD3E1C">
      <w:pPr>
        <w:jc w:val="both"/>
        <w:rPr>
          <w:noProof/>
          <w:lang w:eastAsia="es-GT"/>
        </w:rPr>
      </w:pPr>
    </w:p>
    <w:p w14:paraId="4D2D01B8" w14:textId="119339B4" w:rsidR="003B7642" w:rsidRPr="00962AA6" w:rsidRDefault="00C92B05" w:rsidP="00AD3E1C">
      <w:pPr>
        <w:jc w:val="both"/>
        <w:rPr>
          <w:rFonts w:ascii="Verdana" w:hAnsi="Verdana" w:cs="Arial"/>
          <w:lang w:val="es-MX"/>
        </w:rPr>
      </w:pPr>
      <w:r w:rsidRPr="00C92B05">
        <w:rPr>
          <w:noProof/>
        </w:rPr>
        <w:drawing>
          <wp:inline distT="0" distB="0" distL="0" distR="0" wp14:anchorId="5819738C" wp14:editId="31E44586">
            <wp:extent cx="5612130" cy="1443990"/>
            <wp:effectExtent l="19050" t="19050" r="26670" b="2286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439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C3FF9D" w14:textId="01748EAD" w:rsidR="003B7642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</w:p>
    <w:p w14:paraId="6F33DE61" w14:textId="77777777" w:rsidR="00C72340" w:rsidRDefault="00C72340" w:rsidP="004D557E">
      <w:pPr>
        <w:rPr>
          <w:rFonts w:ascii="Verdana" w:hAnsi="Verdana" w:cs="Arial"/>
          <w:b/>
          <w:sz w:val="14"/>
          <w:lang w:val="es-MX"/>
        </w:rPr>
      </w:pPr>
    </w:p>
    <w:p w14:paraId="45A9D6D4" w14:textId="1A4E279F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1C5AD1">
        <w:rPr>
          <w:rFonts w:ascii="Verdana" w:hAnsi="Verdana" w:cs="Arial"/>
          <w:sz w:val="14"/>
          <w:lang w:val="es-MX"/>
        </w:rPr>
        <w:t>7</w:t>
      </w:r>
      <w:r>
        <w:rPr>
          <w:rFonts w:ascii="Verdana" w:hAnsi="Verdana" w:cs="Arial"/>
          <w:sz w:val="14"/>
          <w:lang w:val="es-MX"/>
        </w:rPr>
        <w:t>/0</w:t>
      </w:r>
      <w:r w:rsidR="001C5AD1">
        <w:rPr>
          <w:rFonts w:ascii="Verdana" w:hAnsi="Verdana" w:cs="Arial"/>
          <w:sz w:val="14"/>
          <w:lang w:val="es-MX"/>
        </w:rPr>
        <w:t>4</w:t>
      </w:r>
      <w:r>
        <w:rPr>
          <w:rFonts w:ascii="Verdana" w:hAnsi="Verdana" w:cs="Arial"/>
          <w:sz w:val="14"/>
          <w:lang w:val="es-MX"/>
        </w:rPr>
        <w:t>/2026</w:t>
      </w:r>
    </w:p>
    <w:p w14:paraId="3861A5CC" w14:textId="77777777" w:rsidR="00AD3E1C" w:rsidRPr="00C608DA" w:rsidRDefault="00AD3E1C" w:rsidP="00AD3E1C">
      <w:pPr>
        <w:rPr>
          <w:rFonts w:ascii="Verdana" w:hAnsi="Verdana"/>
        </w:rPr>
      </w:pPr>
    </w:p>
    <w:p w14:paraId="15224978" w14:textId="77777777" w:rsidR="00AD3E1C" w:rsidRPr="00C608DA" w:rsidRDefault="00AD3E1C" w:rsidP="00AD3E1C">
      <w:pPr>
        <w:rPr>
          <w:rFonts w:ascii="Verdana" w:hAnsi="Verdana"/>
        </w:rPr>
      </w:pPr>
    </w:p>
    <w:sectPr w:rsidR="00AD3E1C" w:rsidRPr="00C608DA" w:rsidSect="00A86170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53BB" w14:textId="77777777" w:rsidR="00E219EE" w:rsidRDefault="00E219EE" w:rsidP="00950217">
      <w:r>
        <w:separator/>
      </w:r>
    </w:p>
  </w:endnote>
  <w:endnote w:type="continuationSeparator" w:id="0">
    <w:p w14:paraId="293F3262" w14:textId="77777777" w:rsidR="00E219EE" w:rsidRDefault="00E219EE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03DA" w14:textId="77777777" w:rsidR="00E219EE" w:rsidRDefault="00E219EE" w:rsidP="00950217">
      <w:r>
        <w:separator/>
      </w:r>
    </w:p>
  </w:footnote>
  <w:footnote w:type="continuationSeparator" w:id="0">
    <w:p w14:paraId="3075492A" w14:textId="77777777" w:rsidR="00E219EE" w:rsidRDefault="00E219EE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05D9"/>
    <w:rsid w:val="00171E45"/>
    <w:rsid w:val="00182B6B"/>
    <w:rsid w:val="00183A5B"/>
    <w:rsid w:val="001873C3"/>
    <w:rsid w:val="001933BD"/>
    <w:rsid w:val="0019615A"/>
    <w:rsid w:val="00197DBA"/>
    <w:rsid w:val="001B19AA"/>
    <w:rsid w:val="001C5AD1"/>
    <w:rsid w:val="001F4FAA"/>
    <w:rsid w:val="00214DC7"/>
    <w:rsid w:val="00223F76"/>
    <w:rsid w:val="00227761"/>
    <w:rsid w:val="00227BE6"/>
    <w:rsid w:val="00255153"/>
    <w:rsid w:val="002600EB"/>
    <w:rsid w:val="00262115"/>
    <w:rsid w:val="0026786D"/>
    <w:rsid w:val="00271C48"/>
    <w:rsid w:val="00271E5A"/>
    <w:rsid w:val="00294F07"/>
    <w:rsid w:val="002B0598"/>
    <w:rsid w:val="002B4A58"/>
    <w:rsid w:val="002C2478"/>
    <w:rsid w:val="002E0527"/>
    <w:rsid w:val="00340EEB"/>
    <w:rsid w:val="00353C44"/>
    <w:rsid w:val="0037225F"/>
    <w:rsid w:val="00381F6C"/>
    <w:rsid w:val="00386577"/>
    <w:rsid w:val="00387D86"/>
    <w:rsid w:val="003A36D2"/>
    <w:rsid w:val="003B7642"/>
    <w:rsid w:val="003F1CB4"/>
    <w:rsid w:val="00430A39"/>
    <w:rsid w:val="00440445"/>
    <w:rsid w:val="00455887"/>
    <w:rsid w:val="004723A0"/>
    <w:rsid w:val="004736A1"/>
    <w:rsid w:val="00475520"/>
    <w:rsid w:val="00496138"/>
    <w:rsid w:val="004A0650"/>
    <w:rsid w:val="004B0D6C"/>
    <w:rsid w:val="004B2098"/>
    <w:rsid w:val="004D4804"/>
    <w:rsid w:val="004D5152"/>
    <w:rsid w:val="004D557E"/>
    <w:rsid w:val="005061E2"/>
    <w:rsid w:val="00507D19"/>
    <w:rsid w:val="00510EBF"/>
    <w:rsid w:val="00535A75"/>
    <w:rsid w:val="00542B07"/>
    <w:rsid w:val="00553CC9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3762E"/>
    <w:rsid w:val="006442A0"/>
    <w:rsid w:val="006515B9"/>
    <w:rsid w:val="00652C4F"/>
    <w:rsid w:val="006645D2"/>
    <w:rsid w:val="00665A3B"/>
    <w:rsid w:val="00674549"/>
    <w:rsid w:val="00685450"/>
    <w:rsid w:val="00692CA4"/>
    <w:rsid w:val="006B72B9"/>
    <w:rsid w:val="006D0EC0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A04EA"/>
    <w:rsid w:val="007B5145"/>
    <w:rsid w:val="007D1EFE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2AA6"/>
    <w:rsid w:val="00967F52"/>
    <w:rsid w:val="009A1E7E"/>
    <w:rsid w:val="009A4551"/>
    <w:rsid w:val="009A5F2A"/>
    <w:rsid w:val="009A60CF"/>
    <w:rsid w:val="009C2F46"/>
    <w:rsid w:val="009D0878"/>
    <w:rsid w:val="009D306E"/>
    <w:rsid w:val="009D5A41"/>
    <w:rsid w:val="009E5161"/>
    <w:rsid w:val="009E757D"/>
    <w:rsid w:val="009E7B83"/>
    <w:rsid w:val="00A01537"/>
    <w:rsid w:val="00A07044"/>
    <w:rsid w:val="00A31FA9"/>
    <w:rsid w:val="00A34B00"/>
    <w:rsid w:val="00A37AA0"/>
    <w:rsid w:val="00A40B7A"/>
    <w:rsid w:val="00A41BB2"/>
    <w:rsid w:val="00A7151B"/>
    <w:rsid w:val="00A73DB8"/>
    <w:rsid w:val="00A81D8D"/>
    <w:rsid w:val="00A8238C"/>
    <w:rsid w:val="00A86170"/>
    <w:rsid w:val="00A95E33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37EB7"/>
    <w:rsid w:val="00B5522A"/>
    <w:rsid w:val="00B8263C"/>
    <w:rsid w:val="00B9698F"/>
    <w:rsid w:val="00B9775E"/>
    <w:rsid w:val="00BA6C2F"/>
    <w:rsid w:val="00BB35A3"/>
    <w:rsid w:val="00BB53C6"/>
    <w:rsid w:val="00BC13B2"/>
    <w:rsid w:val="00BE4C5C"/>
    <w:rsid w:val="00BE6DE5"/>
    <w:rsid w:val="00BE7FD1"/>
    <w:rsid w:val="00C055EE"/>
    <w:rsid w:val="00C074CC"/>
    <w:rsid w:val="00C07E0B"/>
    <w:rsid w:val="00C10570"/>
    <w:rsid w:val="00C10ADC"/>
    <w:rsid w:val="00C24DE1"/>
    <w:rsid w:val="00C32124"/>
    <w:rsid w:val="00C403FE"/>
    <w:rsid w:val="00C5081D"/>
    <w:rsid w:val="00C608DA"/>
    <w:rsid w:val="00C72340"/>
    <w:rsid w:val="00C91118"/>
    <w:rsid w:val="00C92B05"/>
    <w:rsid w:val="00CA558D"/>
    <w:rsid w:val="00CA5B1A"/>
    <w:rsid w:val="00CB4611"/>
    <w:rsid w:val="00CC0E62"/>
    <w:rsid w:val="00CC7B05"/>
    <w:rsid w:val="00CD36CE"/>
    <w:rsid w:val="00CD4152"/>
    <w:rsid w:val="00CD7FA9"/>
    <w:rsid w:val="00CF53C4"/>
    <w:rsid w:val="00CF72F1"/>
    <w:rsid w:val="00D040D1"/>
    <w:rsid w:val="00D16426"/>
    <w:rsid w:val="00D325B6"/>
    <w:rsid w:val="00D34427"/>
    <w:rsid w:val="00D41F9E"/>
    <w:rsid w:val="00D568AD"/>
    <w:rsid w:val="00D56943"/>
    <w:rsid w:val="00D56EC4"/>
    <w:rsid w:val="00D70449"/>
    <w:rsid w:val="00D82ED0"/>
    <w:rsid w:val="00D84B02"/>
    <w:rsid w:val="00D87EE2"/>
    <w:rsid w:val="00D95101"/>
    <w:rsid w:val="00D96DDB"/>
    <w:rsid w:val="00DD2708"/>
    <w:rsid w:val="00DD7C23"/>
    <w:rsid w:val="00DE6618"/>
    <w:rsid w:val="00DF5E7D"/>
    <w:rsid w:val="00E0246F"/>
    <w:rsid w:val="00E07E30"/>
    <w:rsid w:val="00E219EE"/>
    <w:rsid w:val="00E23948"/>
    <w:rsid w:val="00E301A8"/>
    <w:rsid w:val="00E66870"/>
    <w:rsid w:val="00EB2464"/>
    <w:rsid w:val="00EB3219"/>
    <w:rsid w:val="00EC3775"/>
    <w:rsid w:val="00EC3C55"/>
    <w:rsid w:val="00ED2FA1"/>
    <w:rsid w:val="00ED3FA3"/>
    <w:rsid w:val="00EE3188"/>
    <w:rsid w:val="00EE6BD3"/>
    <w:rsid w:val="00F243CE"/>
    <w:rsid w:val="00F34397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rhernandez\Desktop\Informe%20marzo%202026\Presupuesto%20por%20Dependencias%20Acumulado%20MARZ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7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6BE-4B06-8EA2-6C7C7EE518A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tint val="77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7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7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6BE-4B06-8EA2-6C7C7EE518AD}"/>
              </c:ext>
            </c:extLst>
          </c:dPt>
          <c:dLbls>
            <c:dLbl>
              <c:idx val="0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244037744986431"/>
                      <c:h val="0.140665901336457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6BE-4B06-8EA2-6C7C7EE518AD}"/>
                </c:ext>
              </c:extLst>
            </c:dLbl>
            <c:dLbl>
              <c:idx val="1"/>
              <c:layout>
                <c:manualLayout>
                  <c:x val="9.9255885958252452E-2"/>
                  <c:y val="-0.271432762723976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51377369150833"/>
                      <c:h val="0.236702862088255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6BE-4B06-8EA2-6C7C7EE51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'Comercio Exterior'!$H$3:$I$3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'Comercio Exterior'!$H$4:$I$4</c:f>
              <c:numCache>
                <c:formatCode>_(* #,##0.00_);_(* \(#,##0.00\);_(* "-"??_);_(@_)</c:formatCode>
                <c:ptCount val="2"/>
                <c:pt idx="0">
                  <c:v>5859743.3700000001</c:v>
                </c:pt>
                <c:pt idx="1">
                  <c:v>71716611.629999995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BE-4B06-8EA2-6C7C7EE518A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5</cp:revision>
  <cp:lastPrinted>2026-04-15T01:24:00Z</cp:lastPrinted>
  <dcterms:created xsi:type="dcterms:W3CDTF">2026-04-07T21:33:00Z</dcterms:created>
  <dcterms:modified xsi:type="dcterms:W3CDTF">2026-04-15T01:24:00Z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